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C2ECC" w14:textId="77777777" w:rsidR="00F2671B" w:rsidRPr="00F2671B" w:rsidRDefault="00F2671B" w:rsidP="004D3624">
      <w:pPr>
        <w:jc w:val="center"/>
        <w:rPr>
          <w:b/>
          <w:bCs/>
          <w:sz w:val="24"/>
          <w:szCs w:val="24"/>
          <w:u w:val="single"/>
        </w:rPr>
      </w:pPr>
    </w:p>
    <w:p w14:paraId="229C246C" w14:textId="77777777" w:rsidR="001A4A51" w:rsidRPr="00F2671B" w:rsidRDefault="00F2671B" w:rsidP="004D3624">
      <w:pPr>
        <w:jc w:val="center"/>
        <w:rPr>
          <w:b/>
          <w:bCs/>
          <w:sz w:val="24"/>
          <w:szCs w:val="24"/>
          <w:u w:val="single"/>
        </w:rPr>
      </w:pPr>
      <w:r w:rsidRPr="00F2671B">
        <w:rPr>
          <w:b/>
          <w:bCs/>
          <w:sz w:val="24"/>
          <w:szCs w:val="24"/>
          <w:u w:val="single"/>
        </w:rPr>
        <w:t>PROJETO DE LEI Nº 74 DE 2025</w:t>
      </w:r>
    </w:p>
    <w:p w14:paraId="5B2E14AE" w14:textId="77777777" w:rsidR="001A4A51" w:rsidRPr="00F2671B" w:rsidRDefault="00F2671B" w:rsidP="004D3624">
      <w:pPr>
        <w:jc w:val="center"/>
        <w:rPr>
          <w:b/>
          <w:bCs/>
          <w:sz w:val="24"/>
          <w:szCs w:val="24"/>
          <w:u w:val="single"/>
        </w:rPr>
      </w:pPr>
      <w:r w:rsidRPr="00F2671B">
        <w:rPr>
          <w:b/>
          <w:bCs/>
          <w:sz w:val="24"/>
          <w:szCs w:val="24"/>
          <w:u w:val="single"/>
        </w:rPr>
        <w:t>AUTÓGRAFO Nº 02 DE 2026</w:t>
      </w:r>
    </w:p>
    <w:p w14:paraId="11DC4210" w14:textId="77777777" w:rsidR="001A4A51" w:rsidRDefault="00000000" w:rsidP="00F2671B">
      <w:pPr>
        <w:rPr>
          <w:sz w:val="24"/>
          <w:szCs w:val="24"/>
        </w:rPr>
      </w:pPr>
      <w:r>
        <w:rPr>
          <w:sz w:val="24"/>
          <w:szCs w:val="24"/>
        </w:rPr>
        <w:t xml:space="preserve"> </w:t>
      </w:r>
    </w:p>
    <w:p w14:paraId="49DF140A" w14:textId="77777777" w:rsidR="001A4A51" w:rsidRPr="00F2671B" w:rsidRDefault="00F2671B" w:rsidP="00F2671B">
      <w:pPr>
        <w:pBdr>
          <w:top w:val="nil"/>
          <w:left w:val="nil"/>
          <w:bottom w:val="nil"/>
          <w:right w:val="nil"/>
          <w:between w:val="nil"/>
        </w:pBdr>
        <w:ind w:left="3969"/>
        <w:jc w:val="both"/>
        <w:rPr>
          <w:rFonts w:eastAsia="Arial"/>
          <w:b/>
          <w:sz w:val="24"/>
          <w:szCs w:val="24"/>
        </w:rPr>
      </w:pPr>
      <w:r w:rsidRPr="00F2671B">
        <w:rPr>
          <w:b/>
          <w:sz w:val="24"/>
          <w:szCs w:val="24"/>
        </w:rPr>
        <w:t>DISPÕE SOBRE A RESERVA DE VAGAS DE ESTACIONAMENTO VEICULAR PARA PESSOAS COM TRANSTORNO DO ESPECTRO AUTISTA (TEA) EM LOGRADOUROS PÚBLICOS, PRÉDIOS PÚBLICOS E ESTABELECIMENTOS PRIVADOS DE USO COLETIVO COM GRANDE FLUXO DE PESSOAS NO MUNICÍPIO DE MOGI MIRIM E DÁ OUTRAS PROVIDÊNCIAS</w:t>
      </w:r>
      <w:r w:rsidRPr="00F2671B">
        <w:rPr>
          <w:b/>
          <w:bCs/>
          <w:sz w:val="24"/>
          <w:szCs w:val="24"/>
        </w:rPr>
        <w:t>.</w:t>
      </w:r>
    </w:p>
    <w:p w14:paraId="0E108E44" w14:textId="77777777" w:rsidR="00F2671B" w:rsidRDefault="00F2671B" w:rsidP="00F2671B">
      <w:pPr>
        <w:pStyle w:val="NormalWeb"/>
        <w:spacing w:before="0" w:beforeAutospacing="0" w:after="0" w:afterAutospacing="0"/>
        <w:ind w:firstLine="720"/>
        <w:rPr>
          <w:rStyle w:val="citation-206"/>
        </w:rPr>
      </w:pPr>
    </w:p>
    <w:p w14:paraId="2C2E76E2" w14:textId="77777777" w:rsidR="001A4A51" w:rsidRDefault="00F2671B" w:rsidP="00F2671B">
      <w:pPr>
        <w:pStyle w:val="NormalWeb"/>
        <w:spacing w:before="0" w:beforeAutospacing="0" w:after="0" w:afterAutospacing="0"/>
        <w:ind w:firstLine="720"/>
      </w:pPr>
      <w:r w:rsidRPr="00F2671B">
        <w:rPr>
          <w:rStyle w:val="citation-206"/>
        </w:rPr>
        <w:t xml:space="preserve">A </w:t>
      </w:r>
      <w:r>
        <w:rPr>
          <w:rStyle w:val="citation-206"/>
          <w:b/>
          <w:bCs/>
        </w:rPr>
        <w:t xml:space="preserve">Câmara Municipal de Mogi Mirim </w:t>
      </w:r>
      <w:r w:rsidRPr="00F2671B">
        <w:rPr>
          <w:rStyle w:val="citation-206"/>
        </w:rPr>
        <w:t>aprova:</w:t>
      </w:r>
      <w:r>
        <w:rPr>
          <w:rStyle w:val="citation-206"/>
        </w:rPr>
        <w:t xml:space="preserve"> </w:t>
      </w:r>
    </w:p>
    <w:p w14:paraId="0D938E14" w14:textId="77777777" w:rsidR="00F2671B" w:rsidRDefault="00F2671B" w:rsidP="00F2671B">
      <w:pPr>
        <w:pStyle w:val="NormalWeb"/>
        <w:spacing w:before="0" w:beforeAutospacing="0" w:after="0" w:afterAutospacing="0"/>
        <w:ind w:firstLine="720"/>
        <w:jc w:val="both"/>
        <w:rPr>
          <w:b/>
          <w:bCs/>
        </w:rPr>
      </w:pPr>
    </w:p>
    <w:p w14:paraId="70BE3DCD" w14:textId="77777777" w:rsidR="001A4A51" w:rsidRDefault="00000000" w:rsidP="00F2671B">
      <w:pPr>
        <w:pStyle w:val="NormalWeb"/>
        <w:spacing w:before="0" w:beforeAutospacing="0" w:after="0" w:afterAutospacing="0"/>
        <w:ind w:firstLine="720"/>
        <w:jc w:val="both"/>
      </w:pPr>
      <w:r>
        <w:rPr>
          <w:b/>
          <w:bCs/>
        </w:rPr>
        <w:t>Art. 1º</w:t>
      </w:r>
      <w:r>
        <w:t xml:space="preserve"> Ficam criadas e reservadas vagas de estacionamento veicular para pessoas com Transtorno do Espectro Autista (TEA) em logradouros públicos, prédios públicos e estabelecimentos privados de uso coletivo com grande fluxo de pessoas, no âmbito do Município de Mogi Mirim.</w:t>
      </w:r>
    </w:p>
    <w:p w14:paraId="4D55C594" w14:textId="77777777" w:rsidR="00F2671B" w:rsidRDefault="00F2671B" w:rsidP="00F2671B">
      <w:pPr>
        <w:pStyle w:val="NormalWeb"/>
        <w:spacing w:before="0" w:beforeAutospacing="0" w:after="0" w:afterAutospacing="0"/>
        <w:ind w:firstLine="720"/>
        <w:jc w:val="both"/>
        <w:rPr>
          <w:b/>
          <w:bCs/>
        </w:rPr>
      </w:pPr>
    </w:p>
    <w:p w14:paraId="6E898C04" w14:textId="77777777" w:rsidR="001A4A51" w:rsidRDefault="00000000" w:rsidP="00F2671B">
      <w:pPr>
        <w:pStyle w:val="NormalWeb"/>
        <w:spacing w:before="0" w:beforeAutospacing="0" w:after="0" w:afterAutospacing="0"/>
        <w:ind w:firstLine="720"/>
        <w:jc w:val="both"/>
      </w:pPr>
      <w:r>
        <w:rPr>
          <w:b/>
          <w:bCs/>
        </w:rPr>
        <w:t>§ 1º</w:t>
      </w:r>
      <w:r>
        <w:t xml:space="preserve"> A medida visa garantir o direito à acessibilidade, à inclusão e ao respeito à condição da pessoa com Transtorno do Espectro Autista (TEA), em consonância com as Leis Federais nº 12.764, de 27 de dezembro de 2012, e nº 13.146, de 6 de julho de 2015.</w:t>
      </w:r>
    </w:p>
    <w:p w14:paraId="2DCD59B5" w14:textId="77777777" w:rsidR="00F2671B" w:rsidRDefault="00F2671B" w:rsidP="00F2671B">
      <w:pPr>
        <w:pStyle w:val="NormalWeb"/>
        <w:spacing w:before="0" w:beforeAutospacing="0" w:after="0" w:afterAutospacing="0"/>
        <w:ind w:firstLine="720"/>
        <w:jc w:val="both"/>
        <w:rPr>
          <w:b/>
          <w:bCs/>
        </w:rPr>
      </w:pPr>
    </w:p>
    <w:p w14:paraId="39F75018" w14:textId="77777777" w:rsidR="00682301" w:rsidRDefault="00000000" w:rsidP="00F2671B">
      <w:pPr>
        <w:pStyle w:val="NormalWeb"/>
        <w:spacing w:before="0" w:beforeAutospacing="0" w:after="0" w:afterAutospacing="0"/>
        <w:ind w:firstLine="720"/>
        <w:jc w:val="both"/>
      </w:pPr>
      <w:r>
        <w:rPr>
          <w:b/>
          <w:bCs/>
        </w:rPr>
        <w:t>§ 2º</w:t>
      </w:r>
      <w:r>
        <w:t xml:space="preserve"> Para os fins desta Lei:</w:t>
      </w:r>
    </w:p>
    <w:p w14:paraId="5FC86C4D" w14:textId="77777777" w:rsidR="00F2671B" w:rsidRDefault="00F2671B" w:rsidP="00F2671B">
      <w:pPr>
        <w:pStyle w:val="NormalWeb"/>
        <w:spacing w:before="0" w:beforeAutospacing="0" w:after="0" w:afterAutospacing="0"/>
        <w:ind w:firstLine="720"/>
        <w:jc w:val="both"/>
      </w:pPr>
    </w:p>
    <w:p w14:paraId="26EFC008" w14:textId="3AEEE83B" w:rsidR="00682301" w:rsidRDefault="00000000" w:rsidP="00F2671B">
      <w:pPr>
        <w:pStyle w:val="NormalWeb"/>
        <w:spacing w:before="0" w:beforeAutospacing="0" w:after="0" w:afterAutospacing="0"/>
        <w:ind w:firstLine="720"/>
        <w:jc w:val="both"/>
      </w:pPr>
      <w:r>
        <w:t xml:space="preserve"> I - </w:t>
      </w:r>
      <w:proofErr w:type="gramStart"/>
      <w:r w:rsidR="00966A4D">
        <w:t>a</w:t>
      </w:r>
      <w:proofErr w:type="gramEnd"/>
      <w:r>
        <w:t xml:space="preserve"> Secretaria Municipal de Mobilidade Urbana, ou órgão equivalente, será responsável pela demarcação, gestão e fiscalização das vagas em logradouros públicos</w:t>
      </w:r>
      <w:r w:rsidR="00966A4D">
        <w:t>;</w:t>
      </w:r>
      <w:r>
        <w:t xml:space="preserve"> </w:t>
      </w:r>
    </w:p>
    <w:p w14:paraId="56A6C8A0" w14:textId="77777777" w:rsidR="00F2671B" w:rsidRDefault="00F2671B" w:rsidP="00F2671B">
      <w:pPr>
        <w:pStyle w:val="NormalWeb"/>
        <w:spacing w:before="0" w:beforeAutospacing="0" w:after="0" w:afterAutospacing="0"/>
        <w:ind w:firstLine="720"/>
        <w:jc w:val="both"/>
      </w:pPr>
    </w:p>
    <w:p w14:paraId="576B742C" w14:textId="66D8FE18" w:rsidR="00682301" w:rsidRDefault="00000000" w:rsidP="00F2671B">
      <w:pPr>
        <w:pStyle w:val="NormalWeb"/>
        <w:spacing w:before="0" w:beforeAutospacing="0" w:after="0" w:afterAutospacing="0"/>
        <w:ind w:firstLine="720"/>
        <w:jc w:val="both"/>
      </w:pPr>
      <w:r>
        <w:t xml:space="preserve">II - </w:t>
      </w:r>
      <w:proofErr w:type="gramStart"/>
      <w:r w:rsidR="00966A4D">
        <w:t>o</w:t>
      </w:r>
      <w:r>
        <w:t>s</w:t>
      </w:r>
      <w:proofErr w:type="gramEnd"/>
      <w:r>
        <w:t xml:space="preserve"> órgãos da administração pública municipal serão responsáveis pela demarcação e gestão das vagas em seus respectivos prédios</w:t>
      </w:r>
      <w:r w:rsidR="00966A4D">
        <w:t>;</w:t>
      </w:r>
    </w:p>
    <w:p w14:paraId="505491DA" w14:textId="77777777" w:rsidR="00F2671B" w:rsidRDefault="00F2671B" w:rsidP="00F2671B">
      <w:pPr>
        <w:pStyle w:val="NormalWeb"/>
        <w:spacing w:before="0" w:beforeAutospacing="0" w:after="0" w:afterAutospacing="0"/>
        <w:ind w:firstLine="720"/>
        <w:jc w:val="both"/>
      </w:pPr>
    </w:p>
    <w:p w14:paraId="576C382D" w14:textId="1244BA82" w:rsidR="001A4A51" w:rsidRDefault="00000000" w:rsidP="00F2671B">
      <w:pPr>
        <w:pStyle w:val="NormalWeb"/>
        <w:spacing w:before="0" w:beforeAutospacing="0" w:after="0" w:afterAutospacing="0"/>
        <w:ind w:firstLine="720"/>
        <w:jc w:val="both"/>
      </w:pPr>
      <w:r>
        <w:t xml:space="preserve">III - </w:t>
      </w:r>
      <w:r w:rsidR="00966A4D">
        <w:t>o</w:t>
      </w:r>
      <w:r>
        <w:t>s estabelecimentos privados de uso coletivo com grande fluxo de pessoas serão responsáveis pela demarcação e gestão das vagas em suas respectivas propriedades.</w:t>
      </w:r>
    </w:p>
    <w:p w14:paraId="6DB40A56" w14:textId="77777777" w:rsidR="00F2671B" w:rsidRDefault="00F2671B" w:rsidP="00F2671B">
      <w:pPr>
        <w:pStyle w:val="NormalWeb"/>
        <w:spacing w:before="0" w:beforeAutospacing="0" w:after="0" w:afterAutospacing="0"/>
        <w:ind w:firstLine="720"/>
        <w:jc w:val="both"/>
        <w:rPr>
          <w:b/>
          <w:bCs/>
        </w:rPr>
      </w:pPr>
    </w:p>
    <w:p w14:paraId="2EFD65FA" w14:textId="77777777" w:rsidR="001A4A51" w:rsidRDefault="00000000" w:rsidP="00F2671B">
      <w:pPr>
        <w:pStyle w:val="NormalWeb"/>
        <w:spacing w:before="0" w:beforeAutospacing="0" w:after="0" w:afterAutospacing="0"/>
        <w:ind w:firstLine="720"/>
        <w:jc w:val="both"/>
      </w:pPr>
      <w:r>
        <w:rPr>
          <w:b/>
          <w:bCs/>
        </w:rPr>
        <w:t>§ 3º</w:t>
      </w:r>
      <w:r>
        <w:t xml:space="preserve"> Em todos os casos previstos nos incisos I, II e III do § 2º deste artigo, deverá ser reservada, no mínimo, 1 (uma) vaga de estacionamento, ou o percentual de 2% (dois por cento) do total de vagas existentes, o que for maior, exclusivamente para veículos que transportem pessoas com Transtorno do Espectro Autista (TEA).</w:t>
      </w:r>
    </w:p>
    <w:p w14:paraId="4A3DEE7A" w14:textId="77777777" w:rsidR="00F2671B" w:rsidRDefault="00F2671B" w:rsidP="00F2671B">
      <w:pPr>
        <w:pStyle w:val="NormalWeb"/>
        <w:spacing w:before="0" w:beforeAutospacing="0" w:after="0" w:afterAutospacing="0"/>
        <w:ind w:firstLine="720"/>
        <w:jc w:val="both"/>
        <w:rPr>
          <w:b/>
          <w:bCs/>
        </w:rPr>
      </w:pPr>
    </w:p>
    <w:p w14:paraId="44F2A32C" w14:textId="71B3C4E5" w:rsidR="00682301" w:rsidRPr="00F2671B" w:rsidRDefault="00000000" w:rsidP="00F2671B">
      <w:pPr>
        <w:pStyle w:val="NormalWeb"/>
        <w:spacing w:before="0" w:beforeAutospacing="0" w:after="0" w:afterAutospacing="0"/>
        <w:ind w:firstLine="720"/>
        <w:jc w:val="both"/>
        <w:rPr>
          <w:rStyle w:val="citation-205"/>
        </w:rPr>
      </w:pPr>
      <w:r>
        <w:rPr>
          <w:b/>
          <w:bCs/>
        </w:rPr>
        <w:t>Art. 2º</w:t>
      </w:r>
      <w:r>
        <w:t xml:space="preserve"> As vagas de que trata o Art. 1º desta Lei deverão ser devidamente sinalizadas, tanto vertical</w:t>
      </w:r>
      <w:r w:rsidR="00966A4D">
        <w:t>,</w:t>
      </w:r>
      <w:r>
        <w:t xml:space="preserve"> quanto horizontalmente.</w:t>
      </w:r>
    </w:p>
    <w:p w14:paraId="2B6ABB8F" w14:textId="77777777" w:rsidR="00F2671B" w:rsidRDefault="00F2671B" w:rsidP="00F2671B">
      <w:pPr>
        <w:pStyle w:val="NormalWeb"/>
        <w:spacing w:before="0" w:beforeAutospacing="0" w:after="0" w:afterAutospacing="0"/>
        <w:ind w:firstLine="720"/>
        <w:jc w:val="both"/>
        <w:rPr>
          <w:rStyle w:val="citation-205"/>
          <w:b/>
          <w:bCs/>
        </w:rPr>
      </w:pPr>
    </w:p>
    <w:p w14:paraId="38AA17FE" w14:textId="77777777" w:rsidR="001A4A51" w:rsidRDefault="00000000" w:rsidP="00F2671B">
      <w:pPr>
        <w:pStyle w:val="NormalWeb"/>
        <w:spacing w:before="0" w:beforeAutospacing="0" w:after="0" w:afterAutospacing="0"/>
        <w:ind w:firstLine="720"/>
        <w:jc w:val="both"/>
        <w:rPr>
          <w:rStyle w:val="citation-205"/>
        </w:rPr>
      </w:pPr>
      <w:r>
        <w:rPr>
          <w:rStyle w:val="citation-205"/>
          <w:b/>
          <w:bCs/>
        </w:rPr>
        <w:t>§ 1º</w:t>
      </w:r>
      <w:r>
        <w:rPr>
          <w:rStyle w:val="citation-205"/>
        </w:rPr>
        <w:t xml:space="preserve"> A sinalização horizontal deverá conter o símbolo internacional de acesso (desenho de pessoa em cadeira de rodas, em branco sobre fundo azul), acompanhada do símbolo mundial da conscientização sobre o autismo (fita quebra-cabeça colorida) e da inscrição "VAGA EXCLUSIVA PARA PESSOA COM TEA". </w:t>
      </w:r>
    </w:p>
    <w:p w14:paraId="70674A34" w14:textId="77777777" w:rsidR="001A4A51" w:rsidRDefault="001A4A51" w:rsidP="00F2671B">
      <w:pPr>
        <w:pStyle w:val="NormalWeb"/>
        <w:spacing w:before="0" w:beforeAutospacing="0" w:after="0" w:afterAutospacing="0"/>
        <w:jc w:val="both"/>
      </w:pPr>
    </w:p>
    <w:p w14:paraId="4596B26A" w14:textId="77777777" w:rsidR="00F2671B" w:rsidRDefault="00F2671B" w:rsidP="00F2671B">
      <w:pPr>
        <w:pStyle w:val="NormalWeb"/>
        <w:spacing w:before="0" w:beforeAutospacing="0" w:after="0" w:afterAutospacing="0"/>
        <w:ind w:firstLine="720"/>
        <w:jc w:val="both"/>
        <w:rPr>
          <w:rStyle w:val="citation-204"/>
          <w:b/>
          <w:bCs/>
        </w:rPr>
      </w:pPr>
    </w:p>
    <w:p w14:paraId="41475A5C" w14:textId="77777777" w:rsidR="004C2BF0" w:rsidRDefault="004C2BF0" w:rsidP="00F2671B">
      <w:pPr>
        <w:pStyle w:val="NormalWeb"/>
        <w:spacing w:before="0" w:beforeAutospacing="0" w:after="0" w:afterAutospacing="0"/>
        <w:ind w:firstLine="720"/>
        <w:jc w:val="both"/>
        <w:rPr>
          <w:rStyle w:val="citation-204"/>
          <w:b/>
          <w:bCs/>
        </w:rPr>
      </w:pPr>
    </w:p>
    <w:p w14:paraId="69624AB2" w14:textId="77777777" w:rsidR="001A4A51" w:rsidRDefault="00000000" w:rsidP="00F2671B">
      <w:pPr>
        <w:pStyle w:val="NormalWeb"/>
        <w:spacing w:before="0" w:beforeAutospacing="0" w:after="0" w:afterAutospacing="0"/>
        <w:ind w:firstLine="720"/>
        <w:jc w:val="both"/>
      </w:pPr>
      <w:r>
        <w:rPr>
          <w:rStyle w:val="citation-204"/>
          <w:b/>
          <w:bCs/>
        </w:rPr>
        <w:t>§ 2º</w:t>
      </w:r>
      <w:r>
        <w:rPr>
          <w:rStyle w:val="citation-204"/>
        </w:rPr>
        <w:t xml:space="preserve"> A pintura da sinalização horizontal deverá ter boa visibilidade, mesmo em períodos noturnos ou de baixa luminosidade. </w:t>
      </w:r>
    </w:p>
    <w:p w14:paraId="7AD86F3E" w14:textId="77777777" w:rsidR="00F2671B" w:rsidRDefault="00F2671B" w:rsidP="00F2671B">
      <w:pPr>
        <w:pStyle w:val="NormalWeb"/>
        <w:spacing w:before="0" w:beforeAutospacing="0" w:after="0" w:afterAutospacing="0"/>
        <w:ind w:firstLine="720"/>
        <w:jc w:val="both"/>
        <w:rPr>
          <w:b/>
          <w:bCs/>
        </w:rPr>
      </w:pPr>
    </w:p>
    <w:p w14:paraId="5C30A2E5" w14:textId="77777777" w:rsidR="001A4A51" w:rsidRDefault="00000000" w:rsidP="00F2671B">
      <w:pPr>
        <w:pStyle w:val="NormalWeb"/>
        <w:spacing w:before="0" w:beforeAutospacing="0" w:after="0" w:afterAutospacing="0"/>
        <w:ind w:firstLine="720"/>
        <w:jc w:val="both"/>
      </w:pPr>
      <w:r>
        <w:rPr>
          <w:b/>
          <w:bCs/>
        </w:rPr>
        <w:t>§ 3º</w:t>
      </w:r>
      <w:r>
        <w:t xml:space="preserve"> A sinalização vertical deverá conter as mesmas informações da sinalização horizontal, em placa visível e de fácil compreensão.</w:t>
      </w:r>
    </w:p>
    <w:p w14:paraId="50E61151" w14:textId="77777777" w:rsidR="00F2671B" w:rsidRDefault="00F2671B" w:rsidP="00F2671B">
      <w:pPr>
        <w:pStyle w:val="NormalWeb"/>
        <w:spacing w:before="0" w:beforeAutospacing="0" w:after="0" w:afterAutospacing="0"/>
        <w:ind w:firstLine="720"/>
        <w:jc w:val="both"/>
        <w:rPr>
          <w:rStyle w:val="citation-203"/>
          <w:b/>
          <w:bCs/>
        </w:rPr>
      </w:pPr>
    </w:p>
    <w:p w14:paraId="2533405F" w14:textId="77777777" w:rsidR="001A4A51" w:rsidRDefault="00000000" w:rsidP="00F2671B">
      <w:pPr>
        <w:pStyle w:val="NormalWeb"/>
        <w:spacing w:before="0" w:beforeAutospacing="0" w:after="0" w:afterAutospacing="0"/>
        <w:ind w:firstLine="720"/>
        <w:jc w:val="both"/>
      </w:pPr>
      <w:r>
        <w:rPr>
          <w:rStyle w:val="citation-203"/>
          <w:b/>
          <w:bCs/>
        </w:rPr>
        <w:t>§ 4º</w:t>
      </w:r>
      <w:r>
        <w:rPr>
          <w:rStyle w:val="citation-203"/>
        </w:rPr>
        <w:t xml:space="preserve"> A sinalização deverá seguir as normas técnicas da ABNT e, no que couber, as regulamentações do Conselho Nacional de Trânsito (CONTRAN). </w:t>
      </w:r>
    </w:p>
    <w:p w14:paraId="3A393E39" w14:textId="77777777" w:rsidR="00F2671B" w:rsidRDefault="00F2671B" w:rsidP="00F2671B">
      <w:pPr>
        <w:pStyle w:val="NormalWeb"/>
        <w:spacing w:before="0" w:beforeAutospacing="0" w:after="0" w:afterAutospacing="0"/>
        <w:ind w:firstLine="720"/>
        <w:jc w:val="both"/>
        <w:rPr>
          <w:b/>
          <w:bCs/>
        </w:rPr>
      </w:pPr>
    </w:p>
    <w:p w14:paraId="4114F603" w14:textId="77777777" w:rsidR="001A4A51" w:rsidRDefault="00000000" w:rsidP="00F2671B">
      <w:pPr>
        <w:pStyle w:val="NormalWeb"/>
        <w:spacing w:before="0" w:beforeAutospacing="0" w:after="0" w:afterAutospacing="0"/>
        <w:ind w:firstLine="720"/>
        <w:jc w:val="both"/>
      </w:pPr>
      <w:r w:rsidRPr="00F2671B">
        <w:rPr>
          <w:b/>
          <w:bCs/>
        </w:rPr>
        <w:t>Art.</w:t>
      </w:r>
      <w:r w:rsidR="00F2671B">
        <w:rPr>
          <w:b/>
          <w:bCs/>
        </w:rPr>
        <w:t xml:space="preserve"> </w:t>
      </w:r>
      <w:r w:rsidRPr="00F2671B">
        <w:rPr>
          <w:rStyle w:val="citation-202"/>
          <w:b/>
          <w:bCs/>
        </w:rPr>
        <w:t>3º</w:t>
      </w:r>
      <w:r w:rsidR="00F2671B">
        <w:rPr>
          <w:rStyle w:val="citation-202"/>
        </w:rPr>
        <w:t xml:space="preserve"> </w:t>
      </w:r>
      <w:r>
        <w:rPr>
          <w:rStyle w:val="citation-202"/>
        </w:rPr>
        <w:t xml:space="preserve">O uso das vagas de estacionamento regulamentadas por esta Lei está condicionado à apresentação de credencial de identificação, visível no painel do veículo. </w:t>
      </w:r>
    </w:p>
    <w:p w14:paraId="5C2E9ABE" w14:textId="77777777" w:rsidR="00F2671B" w:rsidRDefault="00F2671B" w:rsidP="00F2671B">
      <w:pPr>
        <w:pStyle w:val="NormalWeb"/>
        <w:spacing w:before="0" w:beforeAutospacing="0" w:after="0" w:afterAutospacing="0"/>
        <w:ind w:firstLine="720"/>
        <w:jc w:val="both"/>
        <w:rPr>
          <w:rStyle w:val="citation-201"/>
          <w:b/>
          <w:bCs/>
        </w:rPr>
      </w:pPr>
    </w:p>
    <w:p w14:paraId="02F35A12" w14:textId="5A45B115" w:rsidR="001A4A51" w:rsidRDefault="00000000" w:rsidP="00F2671B">
      <w:pPr>
        <w:pStyle w:val="NormalWeb"/>
        <w:spacing w:before="0" w:beforeAutospacing="0" w:after="0" w:afterAutospacing="0"/>
        <w:ind w:firstLine="720"/>
        <w:jc w:val="both"/>
      </w:pPr>
      <w:r>
        <w:rPr>
          <w:rStyle w:val="citation-201"/>
          <w:b/>
          <w:bCs/>
        </w:rPr>
        <w:t>§ 1º</w:t>
      </w:r>
      <w:r>
        <w:rPr>
          <w:rStyle w:val="citation-201"/>
        </w:rPr>
        <w:t xml:space="preserve"> A credencial de que trata o </w:t>
      </w:r>
      <w:r>
        <w:rPr>
          <w:rStyle w:val="citation-201"/>
          <w:i/>
          <w:iCs/>
        </w:rPr>
        <w:t>caput</w:t>
      </w:r>
      <w:r>
        <w:rPr>
          <w:rStyle w:val="citation-201"/>
        </w:rPr>
        <w:t xml:space="preserve"> poderá ser o Cartão de Identificação da Pessoa com Transtorno do Espectro Autista (CIPTEA), o cartão municipal de estacionamento para pessoa com deficiência emitido pela autoridade de trânsito de Mogi Mirim, o cartão DEFIS</w:t>
      </w:r>
      <w:r w:rsidR="00966A4D">
        <w:rPr>
          <w:rStyle w:val="citation-201"/>
        </w:rPr>
        <w:t>,</w:t>
      </w:r>
      <w:r>
        <w:rPr>
          <w:rStyle w:val="citation-201"/>
        </w:rPr>
        <w:t xml:space="preserve"> ou documento similar, desde que ateste a condição de Transtorno do Espectro Autista (TEA). </w:t>
      </w:r>
    </w:p>
    <w:p w14:paraId="4CD31F5B" w14:textId="77777777" w:rsidR="00F2671B" w:rsidRDefault="00F2671B" w:rsidP="00F2671B">
      <w:pPr>
        <w:pStyle w:val="NormalWeb"/>
        <w:spacing w:before="0" w:beforeAutospacing="0" w:after="0" w:afterAutospacing="0"/>
        <w:ind w:firstLine="720"/>
        <w:jc w:val="both"/>
        <w:rPr>
          <w:b/>
          <w:bCs/>
        </w:rPr>
      </w:pPr>
    </w:p>
    <w:p w14:paraId="5A66D674" w14:textId="77777777" w:rsidR="001A4A51" w:rsidRDefault="00000000" w:rsidP="00F2671B">
      <w:pPr>
        <w:pStyle w:val="NormalWeb"/>
        <w:spacing w:before="0" w:beforeAutospacing="0" w:after="0" w:afterAutospacing="0"/>
        <w:ind w:firstLine="720"/>
        <w:jc w:val="both"/>
      </w:pPr>
      <w:r>
        <w:rPr>
          <w:b/>
          <w:bCs/>
        </w:rPr>
        <w:t>§ 2º</w:t>
      </w:r>
      <w:r>
        <w:t xml:space="preserve"> A Secretaria Municipal de Mobilidade Urbana, ou órgão equivalente, será responsável pela emissão da credencial municipal específica para pessoas com TEA, caso não haja outra credencial federal ou estadual que atenda plenamente aos requisitos desta Lei.</w:t>
      </w:r>
    </w:p>
    <w:p w14:paraId="363DFC4E" w14:textId="77777777" w:rsidR="00F2671B" w:rsidRDefault="00F2671B" w:rsidP="00F2671B">
      <w:pPr>
        <w:pStyle w:val="NormalWeb"/>
        <w:spacing w:before="0" w:beforeAutospacing="0" w:after="0" w:afterAutospacing="0"/>
        <w:ind w:firstLine="720"/>
        <w:jc w:val="both"/>
        <w:rPr>
          <w:b/>
        </w:rPr>
      </w:pPr>
    </w:p>
    <w:p w14:paraId="0304FFDA" w14:textId="77777777" w:rsidR="001A4A51" w:rsidRDefault="00000000" w:rsidP="00F2671B">
      <w:pPr>
        <w:pStyle w:val="NormalWeb"/>
        <w:spacing w:before="0" w:beforeAutospacing="0" w:after="0" w:afterAutospacing="0"/>
        <w:ind w:firstLine="720"/>
        <w:jc w:val="both"/>
      </w:pPr>
      <w:r w:rsidRPr="00DA7116">
        <w:rPr>
          <w:b/>
        </w:rPr>
        <w:t xml:space="preserve">Art. </w:t>
      </w:r>
      <w:r w:rsidRPr="00DA7116">
        <w:rPr>
          <w:rStyle w:val="citation-200"/>
          <w:b/>
        </w:rPr>
        <w:t>4º</w:t>
      </w:r>
      <w:r w:rsidR="00DA7116">
        <w:rPr>
          <w:rStyle w:val="citation-200"/>
        </w:rPr>
        <w:t xml:space="preserve"> </w:t>
      </w:r>
      <w:r>
        <w:rPr>
          <w:rStyle w:val="citation-200"/>
        </w:rPr>
        <w:t xml:space="preserve">As despesas decorrentes da execução desta Lei correrão por conta das dotações orçamentárias próprias, suplementadas se necessário. </w:t>
      </w:r>
    </w:p>
    <w:p w14:paraId="71D7F48E" w14:textId="77777777" w:rsidR="00F2671B" w:rsidRDefault="00F2671B" w:rsidP="00F2671B">
      <w:pPr>
        <w:pStyle w:val="NormalWeb"/>
        <w:spacing w:before="0" w:beforeAutospacing="0" w:after="0" w:afterAutospacing="0"/>
        <w:ind w:firstLine="720"/>
        <w:jc w:val="both"/>
        <w:rPr>
          <w:b/>
        </w:rPr>
      </w:pPr>
    </w:p>
    <w:p w14:paraId="0D078DB3" w14:textId="335AE76D" w:rsidR="00364663" w:rsidRPr="00364663" w:rsidRDefault="00000000" w:rsidP="00EB5D4E">
      <w:pPr>
        <w:ind w:left="709"/>
        <w:rPr>
          <w:rFonts w:eastAsia="Arial"/>
          <w:sz w:val="24"/>
          <w:szCs w:val="24"/>
        </w:rPr>
      </w:pPr>
      <w:r w:rsidRPr="00364663">
        <w:rPr>
          <w:b/>
          <w:sz w:val="24"/>
          <w:szCs w:val="24"/>
        </w:rPr>
        <w:t xml:space="preserve">Art. </w:t>
      </w:r>
      <w:r w:rsidRPr="00364663">
        <w:rPr>
          <w:rStyle w:val="citation-199"/>
          <w:b/>
          <w:sz w:val="24"/>
          <w:szCs w:val="24"/>
        </w:rPr>
        <w:t>5º</w:t>
      </w:r>
      <w:r w:rsidRPr="00364663">
        <w:rPr>
          <w:rStyle w:val="citation-199"/>
          <w:sz w:val="24"/>
          <w:szCs w:val="24"/>
        </w:rPr>
        <w:t xml:space="preserve"> </w:t>
      </w:r>
      <w:r w:rsidRPr="00364663">
        <w:rPr>
          <w:rFonts w:eastAsia="Arial"/>
          <w:sz w:val="24"/>
          <w:szCs w:val="24"/>
        </w:rPr>
        <w:t xml:space="preserve">Esta </w:t>
      </w:r>
      <w:r w:rsidR="00F2671B" w:rsidRPr="00364663">
        <w:rPr>
          <w:rFonts w:eastAsia="Arial"/>
          <w:sz w:val="24"/>
          <w:szCs w:val="24"/>
        </w:rPr>
        <w:t>L</w:t>
      </w:r>
      <w:r w:rsidRPr="00364663">
        <w:rPr>
          <w:rFonts w:eastAsia="Arial"/>
          <w:sz w:val="24"/>
          <w:szCs w:val="24"/>
        </w:rPr>
        <w:t>ei entra em vigor na data de sua publicação</w:t>
      </w:r>
      <w:r w:rsidR="00F2671B" w:rsidRPr="00364663">
        <w:rPr>
          <w:rFonts w:eastAsia="Arial"/>
          <w:sz w:val="24"/>
          <w:szCs w:val="24"/>
        </w:rPr>
        <w:t>.</w:t>
      </w:r>
      <w:bookmarkStart w:id="0" w:name="_Hlk159318557"/>
    </w:p>
    <w:p w14:paraId="109F17BE" w14:textId="77777777" w:rsidR="00364663" w:rsidRDefault="00364663" w:rsidP="00EB5D4E">
      <w:pPr>
        <w:ind w:left="709"/>
        <w:rPr>
          <w:rFonts w:eastAsia="Calibri"/>
          <w:sz w:val="24"/>
          <w:szCs w:val="24"/>
        </w:rPr>
      </w:pPr>
    </w:p>
    <w:p w14:paraId="75D3CD36" w14:textId="77777777" w:rsidR="00364663" w:rsidRDefault="00364663" w:rsidP="00EB5D4E">
      <w:pPr>
        <w:ind w:left="709"/>
        <w:rPr>
          <w:rFonts w:eastAsia="Calibri"/>
          <w:sz w:val="24"/>
          <w:szCs w:val="24"/>
        </w:rPr>
      </w:pPr>
    </w:p>
    <w:p w14:paraId="597491DE" w14:textId="438FAF69" w:rsidR="00364663" w:rsidRDefault="00364663" w:rsidP="00EB5D4E">
      <w:pPr>
        <w:ind w:left="709"/>
        <w:rPr>
          <w:rFonts w:eastAsia="Calibri"/>
          <w:sz w:val="24"/>
          <w:szCs w:val="24"/>
        </w:rPr>
      </w:pPr>
      <w:r>
        <w:rPr>
          <w:rFonts w:eastAsia="Calibri"/>
          <w:sz w:val="24"/>
          <w:szCs w:val="24"/>
        </w:rPr>
        <w:t>Mesa da Câmara Municipal de Mogi Mirim, 10 de fevereiro de 2026.</w:t>
      </w:r>
    </w:p>
    <w:p w14:paraId="680CD839" w14:textId="77777777" w:rsidR="00364663" w:rsidRDefault="00364663" w:rsidP="00EB5D4E">
      <w:pPr>
        <w:ind w:left="709"/>
        <w:rPr>
          <w:rFonts w:eastAsia="Calibri"/>
          <w:sz w:val="24"/>
          <w:szCs w:val="24"/>
        </w:rPr>
      </w:pPr>
    </w:p>
    <w:p w14:paraId="7820EC6E" w14:textId="77777777" w:rsidR="00364663" w:rsidRDefault="00364663" w:rsidP="00EB5D4E">
      <w:pPr>
        <w:ind w:left="709"/>
        <w:rPr>
          <w:rFonts w:eastAsia="Calibri"/>
          <w:b/>
          <w:sz w:val="24"/>
          <w:szCs w:val="24"/>
        </w:rPr>
      </w:pPr>
    </w:p>
    <w:p w14:paraId="221B1F84" w14:textId="77777777" w:rsidR="00364663" w:rsidRDefault="00364663" w:rsidP="00EB5D4E">
      <w:pPr>
        <w:ind w:left="709"/>
        <w:rPr>
          <w:rFonts w:eastAsia="Calibri"/>
          <w:b/>
          <w:sz w:val="24"/>
          <w:szCs w:val="24"/>
        </w:rPr>
      </w:pPr>
      <w:r>
        <w:rPr>
          <w:rFonts w:eastAsia="Calibri"/>
          <w:b/>
          <w:sz w:val="24"/>
          <w:szCs w:val="24"/>
        </w:rPr>
        <w:t xml:space="preserve">VEREADOR CRISTIANO GAIOTO </w:t>
      </w:r>
    </w:p>
    <w:p w14:paraId="0594BFA2" w14:textId="77777777" w:rsidR="00364663" w:rsidRDefault="00364663" w:rsidP="00EB5D4E">
      <w:pPr>
        <w:ind w:left="709"/>
        <w:rPr>
          <w:rFonts w:eastAsia="Calibri"/>
          <w:b/>
          <w:sz w:val="24"/>
          <w:szCs w:val="24"/>
        </w:rPr>
      </w:pPr>
      <w:r>
        <w:rPr>
          <w:rFonts w:eastAsia="Calibri"/>
          <w:b/>
          <w:sz w:val="24"/>
          <w:szCs w:val="24"/>
        </w:rPr>
        <w:t>Presidente da Câmara</w:t>
      </w:r>
    </w:p>
    <w:p w14:paraId="26ADE57E" w14:textId="77777777" w:rsidR="00364663" w:rsidRDefault="00364663" w:rsidP="00EB5D4E">
      <w:pPr>
        <w:ind w:left="709"/>
        <w:rPr>
          <w:rFonts w:eastAsia="Calibri"/>
          <w:b/>
          <w:sz w:val="24"/>
          <w:szCs w:val="24"/>
        </w:rPr>
      </w:pPr>
    </w:p>
    <w:p w14:paraId="7849E6FD" w14:textId="77777777" w:rsidR="00364663" w:rsidRDefault="00364663" w:rsidP="00EB5D4E">
      <w:pPr>
        <w:ind w:left="709"/>
        <w:rPr>
          <w:rFonts w:eastAsia="Calibri"/>
          <w:b/>
          <w:sz w:val="24"/>
          <w:szCs w:val="24"/>
        </w:rPr>
      </w:pPr>
      <w:r>
        <w:rPr>
          <w:rFonts w:eastAsia="Calibri"/>
          <w:b/>
          <w:sz w:val="24"/>
          <w:szCs w:val="24"/>
        </w:rPr>
        <w:t>VEREADOR WAGNER RICARDO PEREIRA</w:t>
      </w:r>
    </w:p>
    <w:p w14:paraId="462F7E68" w14:textId="77777777" w:rsidR="00364663" w:rsidRDefault="00364663" w:rsidP="00EB5D4E">
      <w:pPr>
        <w:ind w:left="709"/>
        <w:rPr>
          <w:rFonts w:eastAsia="Calibri"/>
          <w:b/>
          <w:sz w:val="24"/>
          <w:szCs w:val="24"/>
        </w:rPr>
      </w:pPr>
      <w:r>
        <w:rPr>
          <w:rFonts w:eastAsia="Calibri"/>
          <w:b/>
          <w:sz w:val="24"/>
          <w:szCs w:val="24"/>
        </w:rPr>
        <w:t>1ª Vice-Presidente</w:t>
      </w:r>
    </w:p>
    <w:p w14:paraId="5A87E354" w14:textId="77777777" w:rsidR="00364663" w:rsidRDefault="00364663" w:rsidP="00EB5D4E">
      <w:pPr>
        <w:ind w:left="709"/>
        <w:rPr>
          <w:rFonts w:eastAsia="Calibri"/>
          <w:b/>
          <w:sz w:val="24"/>
          <w:szCs w:val="24"/>
        </w:rPr>
      </w:pPr>
    </w:p>
    <w:p w14:paraId="2A28F717" w14:textId="77777777" w:rsidR="00364663" w:rsidRDefault="00364663" w:rsidP="00EB5D4E">
      <w:pPr>
        <w:ind w:left="709"/>
        <w:rPr>
          <w:rFonts w:eastAsia="Calibri"/>
          <w:b/>
          <w:sz w:val="24"/>
          <w:szCs w:val="24"/>
        </w:rPr>
      </w:pPr>
      <w:r>
        <w:rPr>
          <w:rFonts w:eastAsia="Calibri"/>
          <w:b/>
          <w:sz w:val="24"/>
          <w:szCs w:val="24"/>
        </w:rPr>
        <w:t xml:space="preserve">VEREADORA DANIELLA GONÇALVES DE AMOEDO CAMPOS </w:t>
      </w:r>
    </w:p>
    <w:p w14:paraId="009C0494" w14:textId="77777777" w:rsidR="00364663" w:rsidRDefault="00364663" w:rsidP="00EB5D4E">
      <w:pPr>
        <w:ind w:left="709"/>
        <w:rPr>
          <w:rFonts w:eastAsia="Calibri"/>
          <w:b/>
          <w:sz w:val="24"/>
          <w:szCs w:val="24"/>
        </w:rPr>
      </w:pPr>
      <w:r>
        <w:rPr>
          <w:rFonts w:eastAsia="Calibri"/>
          <w:b/>
          <w:sz w:val="24"/>
          <w:szCs w:val="24"/>
        </w:rPr>
        <w:t>2º Vice-Presidente</w:t>
      </w:r>
    </w:p>
    <w:p w14:paraId="7C683F5C" w14:textId="77777777" w:rsidR="00364663" w:rsidRDefault="00364663" w:rsidP="00EB5D4E">
      <w:pPr>
        <w:ind w:left="709"/>
        <w:rPr>
          <w:rFonts w:eastAsia="Calibri"/>
          <w:b/>
          <w:sz w:val="24"/>
          <w:szCs w:val="24"/>
        </w:rPr>
      </w:pPr>
    </w:p>
    <w:p w14:paraId="119F8406" w14:textId="77777777" w:rsidR="00364663" w:rsidRDefault="00364663" w:rsidP="00EB5D4E">
      <w:pPr>
        <w:ind w:left="709"/>
        <w:rPr>
          <w:rFonts w:eastAsia="Calibri"/>
          <w:b/>
          <w:sz w:val="24"/>
          <w:szCs w:val="24"/>
        </w:rPr>
      </w:pPr>
      <w:r>
        <w:rPr>
          <w:rFonts w:eastAsia="Calibri"/>
          <w:b/>
          <w:sz w:val="24"/>
          <w:szCs w:val="24"/>
        </w:rPr>
        <w:t>VEREADOR LUIS ROBERTO TAVARES</w:t>
      </w:r>
    </w:p>
    <w:p w14:paraId="2F9886B0" w14:textId="77777777" w:rsidR="00364663" w:rsidRDefault="00364663" w:rsidP="00EB5D4E">
      <w:pPr>
        <w:ind w:left="709"/>
        <w:rPr>
          <w:rFonts w:eastAsia="Calibri"/>
          <w:b/>
          <w:sz w:val="24"/>
          <w:szCs w:val="24"/>
        </w:rPr>
      </w:pPr>
      <w:r>
        <w:rPr>
          <w:rFonts w:eastAsia="Calibri"/>
          <w:b/>
          <w:sz w:val="24"/>
          <w:szCs w:val="24"/>
        </w:rPr>
        <w:t>1ª Secretário</w:t>
      </w:r>
    </w:p>
    <w:p w14:paraId="0973E3BC" w14:textId="77777777" w:rsidR="00364663" w:rsidRDefault="00364663" w:rsidP="00EB5D4E">
      <w:pPr>
        <w:ind w:left="709"/>
        <w:rPr>
          <w:rFonts w:eastAsia="Calibri"/>
          <w:b/>
          <w:sz w:val="24"/>
          <w:szCs w:val="24"/>
        </w:rPr>
      </w:pPr>
    </w:p>
    <w:p w14:paraId="61921D06" w14:textId="77777777" w:rsidR="00364663" w:rsidRDefault="00364663" w:rsidP="00EB5D4E">
      <w:pPr>
        <w:ind w:left="709"/>
        <w:rPr>
          <w:rFonts w:eastAsia="Calibri"/>
          <w:b/>
          <w:sz w:val="24"/>
          <w:szCs w:val="24"/>
        </w:rPr>
      </w:pPr>
      <w:r>
        <w:rPr>
          <w:rFonts w:eastAsia="Calibri"/>
          <w:b/>
          <w:sz w:val="24"/>
          <w:szCs w:val="24"/>
        </w:rPr>
        <w:t xml:space="preserve">VEREADOR MARCOS PAULO CEGATTI </w:t>
      </w:r>
    </w:p>
    <w:p w14:paraId="3D704F8A" w14:textId="77777777" w:rsidR="00364663" w:rsidRDefault="00364663" w:rsidP="00EB5D4E">
      <w:pPr>
        <w:ind w:left="709"/>
        <w:rPr>
          <w:rFonts w:eastAsia="Calibri"/>
          <w:b/>
          <w:sz w:val="24"/>
          <w:szCs w:val="24"/>
        </w:rPr>
      </w:pPr>
      <w:r>
        <w:rPr>
          <w:rFonts w:eastAsia="Calibri"/>
          <w:b/>
          <w:sz w:val="24"/>
          <w:szCs w:val="24"/>
        </w:rPr>
        <w:t>2º Secretário</w:t>
      </w:r>
      <w:bookmarkEnd w:id="0"/>
    </w:p>
    <w:p w14:paraId="4C78D257" w14:textId="77777777" w:rsidR="00364663" w:rsidRDefault="00364663" w:rsidP="00EB5D4E">
      <w:pPr>
        <w:widowControl w:val="0"/>
        <w:suppressAutoHyphens/>
        <w:ind w:firstLine="3696"/>
        <w:jc w:val="both"/>
        <w:rPr>
          <w:rFonts w:eastAsia="Lucida Sans Unicode"/>
          <w:b/>
          <w:sz w:val="24"/>
          <w:szCs w:val="24"/>
        </w:rPr>
      </w:pPr>
    </w:p>
    <w:p w14:paraId="03BF48C7" w14:textId="77777777" w:rsidR="00F2671B" w:rsidRDefault="00F2671B" w:rsidP="00F2671B">
      <w:pPr>
        <w:pStyle w:val="NormalWeb"/>
        <w:spacing w:before="0" w:beforeAutospacing="0" w:after="0" w:afterAutospacing="0"/>
        <w:rPr>
          <w:rStyle w:val="citation-199"/>
        </w:rPr>
      </w:pPr>
    </w:p>
    <w:p w14:paraId="5C57A2FA" w14:textId="77777777" w:rsidR="00F2671B" w:rsidRDefault="00F2671B" w:rsidP="00F2671B">
      <w:pPr>
        <w:rPr>
          <w:b/>
        </w:rPr>
      </w:pPr>
      <w:bookmarkStart w:id="1" w:name="_Hlk196829898"/>
      <w:r>
        <w:rPr>
          <w:b/>
        </w:rPr>
        <w:t>Projeto de Lei nº 74 de 2025</w:t>
      </w:r>
    </w:p>
    <w:p w14:paraId="291442DD" w14:textId="77777777" w:rsidR="00F2671B" w:rsidRDefault="00F2671B" w:rsidP="00F2671B">
      <w:pPr>
        <w:rPr>
          <w:b/>
        </w:rPr>
      </w:pPr>
      <w:r>
        <w:rPr>
          <w:b/>
        </w:rPr>
        <w:t>Autoria: Vereador Wilians Mendes de Oliveira e Outros</w:t>
      </w:r>
      <w:bookmarkEnd w:id="1"/>
    </w:p>
    <w:sectPr w:rsidR="00F2671B" w:rsidSect="00F2671B">
      <w:headerReference w:type="even" r:id="rId6"/>
      <w:headerReference w:type="default" r:id="rId7"/>
      <w:footerReference w:type="default" r:id="rId8"/>
      <w:pgSz w:w="11907" w:h="16840"/>
      <w:pgMar w:top="1701" w:right="1134" w:bottom="1134" w:left="1701"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DC42C" w14:textId="77777777" w:rsidR="00BD7FAE" w:rsidRDefault="00BD7FAE">
      <w:r>
        <w:separator/>
      </w:r>
    </w:p>
  </w:endnote>
  <w:endnote w:type="continuationSeparator" w:id="0">
    <w:p w14:paraId="6ECD4891" w14:textId="77777777" w:rsidR="00BD7FAE" w:rsidRDefault="00BD7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3A7E8" w14:textId="77777777" w:rsidR="002A2D3D" w:rsidRDefault="002A2D3D">
    <w:pPr>
      <w:pBdr>
        <w:top w:val="nil"/>
        <w:left w:val="nil"/>
        <w:bottom w:val="nil"/>
        <w:right w:val="nil"/>
        <w:between w:val="nil"/>
      </w:pBdr>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4B672" w14:textId="77777777" w:rsidR="00BD7FAE" w:rsidRDefault="00BD7FAE">
      <w:r>
        <w:separator/>
      </w:r>
    </w:p>
  </w:footnote>
  <w:footnote w:type="continuationSeparator" w:id="0">
    <w:p w14:paraId="42CDF230" w14:textId="77777777" w:rsidR="00BD7FAE" w:rsidRDefault="00BD7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06CAC" w14:textId="77777777" w:rsidR="002A2D3D" w:rsidRDefault="00000000">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4595F174" w14:textId="77777777" w:rsidR="002A2D3D" w:rsidRDefault="002A2D3D">
    <w:pPr>
      <w:pBdr>
        <w:top w:val="nil"/>
        <w:left w:val="nil"/>
        <w:bottom w:val="nil"/>
        <w:right w:val="nil"/>
        <w:between w:val="nil"/>
      </w:pBdr>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57636" w14:textId="77777777" w:rsidR="002A2D3D" w:rsidRDefault="001A5E3B">
    <w:pPr>
      <w:pBdr>
        <w:top w:val="nil"/>
        <w:left w:val="nil"/>
        <w:bottom w:val="nil"/>
        <w:right w:val="nil"/>
        <w:between w:val="nil"/>
      </w:pBdr>
      <w:jc w:val="right"/>
      <w:rPr>
        <w:color w:val="000000"/>
      </w:rPr>
    </w:pPr>
    <w:r>
      <w:rPr>
        <w:noProof/>
      </w:rPr>
      <w:drawing>
        <wp:anchor distT="0" distB="0" distL="114300" distR="114300" simplePos="0" relativeHeight="251658240" behindDoc="0" locked="0" layoutInCell="1" allowOverlap="1" wp14:anchorId="4252D94F" wp14:editId="7F678D8D">
          <wp:simplePos x="0" y="0"/>
          <wp:positionH relativeFrom="margin">
            <wp:posOffset>76200</wp:posOffset>
          </wp:positionH>
          <wp:positionV relativeFrom="paragraph">
            <wp:posOffset>-142875</wp:posOffset>
          </wp:positionV>
          <wp:extent cx="1040765" cy="754380"/>
          <wp:effectExtent l="0" t="0" r="6985" b="7620"/>
          <wp:wrapThrough wrapText="bothSides">
            <wp:wrapPolygon edited="0">
              <wp:start x="0" y="0"/>
              <wp:lineTo x="0" y="21273"/>
              <wp:lineTo x="21350" y="21273"/>
              <wp:lineTo x="21350" y="0"/>
              <wp:lineTo x="0" y="0"/>
            </wp:wrapPolygon>
          </wp:wrapThrough>
          <wp:docPr id="1" name="image1.png" descr="brasaomm"/>
          <wp:cNvGraphicFramePr/>
          <a:graphic xmlns:a="http://schemas.openxmlformats.org/drawingml/2006/main">
            <a:graphicData uri="http://schemas.openxmlformats.org/drawingml/2006/picture">
              <pic:pic xmlns:pic="http://schemas.openxmlformats.org/drawingml/2006/picture">
                <pic:nvPicPr>
                  <pic:cNvPr id="661324166" name="image1.png" descr="brasaomm"/>
                  <pic:cNvPicPr/>
                </pic:nvPicPr>
                <pic:blipFill>
                  <a:blip r:embed="rId1">
                    <a:extLst>
                      <a:ext uri="{28A0092B-C50C-407E-A947-70E740481C1C}">
                        <a14:useLocalDpi xmlns:a14="http://schemas.microsoft.com/office/drawing/2010/main" val="0"/>
                      </a:ext>
                    </a:extLst>
                  </a:blip>
                  <a:stretch>
                    <a:fillRect/>
                  </a:stretch>
                </pic:blipFill>
                <pic:spPr>
                  <a:xfrm>
                    <a:off x="0" y="0"/>
                    <a:ext cx="1040765" cy="754380"/>
                  </a:xfrm>
                  <a:prstGeom prst="rect">
                    <a:avLst/>
                  </a:prstGeom>
                </pic:spPr>
              </pic:pic>
            </a:graphicData>
          </a:graphic>
          <wp14:sizeRelH relativeFrom="page">
            <wp14:pctWidth>0</wp14:pctWidth>
          </wp14:sizeRelH>
          <wp14:sizeRelV relativeFrom="page">
            <wp14:pctHeight>0</wp14:pctHeight>
          </wp14:sizeRelV>
        </wp:anchor>
      </w:drawing>
    </w:r>
  </w:p>
  <w:p w14:paraId="64B4BA66" w14:textId="77777777" w:rsidR="002A2D3D" w:rsidRPr="001A5E3B" w:rsidRDefault="001A5E3B" w:rsidP="00F2671B">
    <w:pPr>
      <w:ind w:left="1985" w:right="360"/>
    </w:pPr>
    <w:r>
      <w:rPr>
        <w:rFonts w:ascii="Arial" w:eastAsia="Arial" w:hAnsi="Arial" w:cs="Arial"/>
        <w:b/>
        <w:color w:val="000000"/>
        <w:sz w:val="34"/>
        <w:szCs w:val="34"/>
      </w:rPr>
      <w:t xml:space="preserve">   CÂMARA MUNICIPAL DE MOGI MIRIM</w:t>
    </w:r>
  </w:p>
  <w:p w14:paraId="045FD185" w14:textId="77777777" w:rsidR="002A2D3D" w:rsidRDefault="00000000" w:rsidP="00F2671B">
    <w:pPr>
      <w:pBdr>
        <w:top w:val="nil"/>
        <w:left w:val="nil"/>
        <w:bottom w:val="nil"/>
        <w:right w:val="nil"/>
        <w:between w:val="nil"/>
      </w:pBdr>
      <w:tabs>
        <w:tab w:val="right" w:pos="7513"/>
      </w:tabs>
      <w:ind w:left="1985"/>
      <w:jc w:val="center"/>
      <w:rPr>
        <w:rFonts w:ascii="Arial" w:eastAsia="Arial" w:hAnsi="Arial" w:cs="Arial"/>
        <w:color w:val="000000"/>
      </w:rPr>
    </w:pPr>
    <w:r>
      <w:rPr>
        <w:rFonts w:ascii="Arial" w:eastAsia="Arial" w:hAnsi="Arial" w:cs="Arial"/>
        <w:b/>
        <w:color w:val="000000"/>
        <w:sz w:val="24"/>
        <w:szCs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D3D"/>
    <w:rsid w:val="00044F20"/>
    <w:rsid w:val="000A4BB5"/>
    <w:rsid w:val="001A4A51"/>
    <w:rsid w:val="001A5E3B"/>
    <w:rsid w:val="001E60A3"/>
    <w:rsid w:val="00242A65"/>
    <w:rsid w:val="002A2D3D"/>
    <w:rsid w:val="00334EFA"/>
    <w:rsid w:val="0036111E"/>
    <w:rsid w:val="0036278F"/>
    <w:rsid w:val="00364663"/>
    <w:rsid w:val="00404541"/>
    <w:rsid w:val="00433A8B"/>
    <w:rsid w:val="004C2BF0"/>
    <w:rsid w:val="004D3624"/>
    <w:rsid w:val="00682301"/>
    <w:rsid w:val="006D79F9"/>
    <w:rsid w:val="0075077F"/>
    <w:rsid w:val="007F25E4"/>
    <w:rsid w:val="00966A4D"/>
    <w:rsid w:val="00997925"/>
    <w:rsid w:val="009B210C"/>
    <w:rsid w:val="00A10EFC"/>
    <w:rsid w:val="00A71C00"/>
    <w:rsid w:val="00AF66A0"/>
    <w:rsid w:val="00BA619E"/>
    <w:rsid w:val="00BB38BF"/>
    <w:rsid w:val="00BC72CC"/>
    <w:rsid w:val="00BD7FAE"/>
    <w:rsid w:val="00C01FA0"/>
    <w:rsid w:val="00C15B84"/>
    <w:rsid w:val="00C235D9"/>
    <w:rsid w:val="00D15205"/>
    <w:rsid w:val="00D35586"/>
    <w:rsid w:val="00D53A9A"/>
    <w:rsid w:val="00DA2BEE"/>
    <w:rsid w:val="00DA7116"/>
    <w:rsid w:val="00DD2474"/>
    <w:rsid w:val="00DE2C5F"/>
    <w:rsid w:val="00E12E57"/>
    <w:rsid w:val="00EB3E93"/>
    <w:rsid w:val="00F22880"/>
    <w:rsid w:val="00F2671B"/>
    <w:rsid w:val="00F65C47"/>
    <w:rsid w:val="00F72BFF"/>
    <w:rsid w:val="00FC436C"/>
    <w:rsid w:val="00FE1E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78A9A"/>
  <w15:docId w15:val="{C498BF76-3323-4DEC-BC87-759BD0A2C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433A8B"/>
    <w:rPr>
      <w:rFonts w:ascii="Segoe UI" w:hAnsi="Segoe UI" w:cs="Segoe UI"/>
      <w:sz w:val="18"/>
      <w:szCs w:val="18"/>
    </w:rPr>
  </w:style>
  <w:style w:type="character" w:customStyle="1" w:styleId="TextodebaloChar">
    <w:name w:val="Texto de balão Char"/>
    <w:basedOn w:val="Fontepargpadro"/>
    <w:link w:val="Textodebalo"/>
    <w:uiPriority w:val="99"/>
    <w:semiHidden/>
    <w:rsid w:val="00433A8B"/>
    <w:rPr>
      <w:rFonts w:ascii="Segoe UI" w:hAnsi="Segoe UI" w:cs="Segoe UI"/>
      <w:sz w:val="18"/>
      <w:szCs w:val="18"/>
    </w:rPr>
  </w:style>
  <w:style w:type="character" w:styleId="Forte">
    <w:name w:val="Strong"/>
    <w:basedOn w:val="Fontepargpadro"/>
    <w:uiPriority w:val="22"/>
    <w:qFormat/>
    <w:rsid w:val="00404541"/>
    <w:rPr>
      <w:b/>
      <w:bCs/>
    </w:rPr>
  </w:style>
  <w:style w:type="paragraph" w:styleId="NormalWeb">
    <w:name w:val="Normal (Web)"/>
    <w:basedOn w:val="Normal"/>
    <w:uiPriority w:val="99"/>
    <w:unhideWhenUsed/>
    <w:rsid w:val="00404541"/>
    <w:pPr>
      <w:spacing w:before="100" w:beforeAutospacing="1" w:after="100" w:afterAutospacing="1"/>
    </w:pPr>
    <w:rPr>
      <w:sz w:val="24"/>
      <w:szCs w:val="24"/>
    </w:rPr>
  </w:style>
  <w:style w:type="character" w:customStyle="1" w:styleId="citation-206">
    <w:name w:val="citation-206"/>
    <w:basedOn w:val="Fontepargpadro"/>
    <w:rsid w:val="001A4A51"/>
  </w:style>
  <w:style w:type="character" w:customStyle="1" w:styleId="citation-205">
    <w:name w:val="citation-205"/>
    <w:basedOn w:val="Fontepargpadro"/>
    <w:rsid w:val="001A4A51"/>
  </w:style>
  <w:style w:type="character" w:customStyle="1" w:styleId="citation-204">
    <w:name w:val="citation-204"/>
    <w:basedOn w:val="Fontepargpadro"/>
    <w:rsid w:val="001A4A51"/>
  </w:style>
  <w:style w:type="character" w:customStyle="1" w:styleId="citation-203">
    <w:name w:val="citation-203"/>
    <w:basedOn w:val="Fontepargpadro"/>
    <w:rsid w:val="001A4A51"/>
  </w:style>
  <w:style w:type="character" w:customStyle="1" w:styleId="citation-202">
    <w:name w:val="citation-202"/>
    <w:basedOn w:val="Fontepargpadro"/>
    <w:rsid w:val="001A4A51"/>
  </w:style>
  <w:style w:type="character" w:customStyle="1" w:styleId="citation-201">
    <w:name w:val="citation-201"/>
    <w:basedOn w:val="Fontepargpadro"/>
    <w:rsid w:val="001A4A51"/>
  </w:style>
  <w:style w:type="character" w:customStyle="1" w:styleId="citation-200">
    <w:name w:val="citation-200"/>
    <w:basedOn w:val="Fontepargpadro"/>
    <w:rsid w:val="001A4A51"/>
  </w:style>
  <w:style w:type="character" w:customStyle="1" w:styleId="citation-199">
    <w:name w:val="citation-199"/>
    <w:basedOn w:val="Fontepargpadro"/>
    <w:rsid w:val="001A4A51"/>
  </w:style>
  <w:style w:type="character" w:customStyle="1" w:styleId="citation-198">
    <w:name w:val="citation-198"/>
    <w:basedOn w:val="Fontepargpadro"/>
    <w:rsid w:val="001A4A51"/>
  </w:style>
  <w:style w:type="character" w:customStyle="1" w:styleId="citation-197">
    <w:name w:val="citation-197"/>
    <w:basedOn w:val="Fontepargpadro"/>
    <w:rsid w:val="001A4A51"/>
  </w:style>
  <w:style w:type="character" w:customStyle="1" w:styleId="citation-196">
    <w:name w:val="citation-196"/>
    <w:basedOn w:val="Fontepargpadro"/>
    <w:rsid w:val="001A4A51"/>
  </w:style>
  <w:style w:type="character" w:customStyle="1" w:styleId="citation-195">
    <w:name w:val="citation-195"/>
    <w:basedOn w:val="Fontepargpadro"/>
    <w:rsid w:val="001A4A51"/>
  </w:style>
  <w:style w:type="character" w:customStyle="1" w:styleId="citation-194">
    <w:name w:val="citation-194"/>
    <w:basedOn w:val="Fontepargpadro"/>
    <w:rsid w:val="001A4A51"/>
  </w:style>
  <w:style w:type="character" w:customStyle="1" w:styleId="citation-193">
    <w:name w:val="citation-193"/>
    <w:basedOn w:val="Fontepargpadro"/>
    <w:rsid w:val="001A4A51"/>
  </w:style>
  <w:style w:type="character" w:customStyle="1" w:styleId="citation-192">
    <w:name w:val="citation-192"/>
    <w:basedOn w:val="Fontepargpadro"/>
    <w:rsid w:val="001A4A51"/>
  </w:style>
  <w:style w:type="character" w:customStyle="1" w:styleId="citation-191">
    <w:name w:val="citation-191"/>
    <w:basedOn w:val="Fontepargpadro"/>
    <w:rsid w:val="001A4A51"/>
  </w:style>
  <w:style w:type="character" w:customStyle="1" w:styleId="citation-190">
    <w:name w:val="citation-190"/>
    <w:basedOn w:val="Fontepargpadro"/>
    <w:rsid w:val="001A4A51"/>
  </w:style>
  <w:style w:type="character" w:customStyle="1" w:styleId="citation-189">
    <w:name w:val="citation-189"/>
    <w:basedOn w:val="Fontepargpadro"/>
    <w:rsid w:val="001A4A51"/>
  </w:style>
  <w:style w:type="character" w:customStyle="1" w:styleId="citation-188">
    <w:name w:val="citation-188"/>
    <w:basedOn w:val="Fontepargpadro"/>
    <w:rsid w:val="001A4A51"/>
  </w:style>
  <w:style w:type="character" w:customStyle="1" w:styleId="citation-187">
    <w:name w:val="citation-187"/>
    <w:basedOn w:val="Fontepargpadro"/>
    <w:rsid w:val="001A4A51"/>
  </w:style>
  <w:style w:type="character" w:customStyle="1" w:styleId="citation-186">
    <w:name w:val="citation-186"/>
    <w:basedOn w:val="Fontepargpadro"/>
    <w:rsid w:val="001A4A51"/>
  </w:style>
  <w:style w:type="character" w:customStyle="1" w:styleId="citation-185">
    <w:name w:val="citation-185"/>
    <w:basedOn w:val="Fontepargpadro"/>
    <w:rsid w:val="001A4A51"/>
  </w:style>
  <w:style w:type="character" w:customStyle="1" w:styleId="citation-184">
    <w:name w:val="citation-184"/>
    <w:basedOn w:val="Fontepargpadro"/>
    <w:rsid w:val="001A4A51"/>
  </w:style>
  <w:style w:type="character" w:customStyle="1" w:styleId="citation-183">
    <w:name w:val="citation-183"/>
    <w:basedOn w:val="Fontepargpadro"/>
    <w:rsid w:val="001A4A51"/>
  </w:style>
  <w:style w:type="character" w:customStyle="1" w:styleId="citation-182">
    <w:name w:val="citation-182"/>
    <w:basedOn w:val="Fontepargpadro"/>
    <w:rsid w:val="001A4A51"/>
  </w:style>
  <w:style w:type="character" w:customStyle="1" w:styleId="citation-181">
    <w:name w:val="citation-181"/>
    <w:basedOn w:val="Fontepargpadro"/>
    <w:rsid w:val="001A4A51"/>
  </w:style>
  <w:style w:type="paragraph" w:styleId="PargrafodaLista">
    <w:name w:val="List Paragraph"/>
    <w:basedOn w:val="Normal"/>
    <w:uiPriority w:val="34"/>
    <w:qFormat/>
    <w:rsid w:val="001A4A51"/>
    <w:pPr>
      <w:ind w:left="720"/>
      <w:contextualSpacing/>
    </w:pPr>
  </w:style>
  <w:style w:type="paragraph" w:styleId="Rodap">
    <w:name w:val="footer"/>
    <w:basedOn w:val="Normal"/>
    <w:link w:val="RodapChar"/>
    <w:uiPriority w:val="99"/>
    <w:unhideWhenUsed/>
    <w:rsid w:val="001A5E3B"/>
    <w:pPr>
      <w:tabs>
        <w:tab w:val="center" w:pos="4252"/>
        <w:tab w:val="right" w:pos="8504"/>
      </w:tabs>
    </w:pPr>
  </w:style>
  <w:style w:type="character" w:customStyle="1" w:styleId="RodapChar">
    <w:name w:val="Rodapé Char"/>
    <w:basedOn w:val="Fontepargpadro"/>
    <w:link w:val="Rodap"/>
    <w:uiPriority w:val="99"/>
    <w:rsid w:val="001A5E3B"/>
  </w:style>
  <w:style w:type="paragraph" w:styleId="Cabealho">
    <w:name w:val="header"/>
    <w:basedOn w:val="Normal"/>
    <w:link w:val="CabealhoChar"/>
    <w:uiPriority w:val="99"/>
    <w:unhideWhenUsed/>
    <w:rsid w:val="001A5E3B"/>
    <w:pPr>
      <w:tabs>
        <w:tab w:val="center" w:pos="4252"/>
        <w:tab w:val="right" w:pos="8504"/>
      </w:tabs>
    </w:pPr>
  </w:style>
  <w:style w:type="character" w:customStyle="1" w:styleId="CabealhoChar">
    <w:name w:val="Cabeçalho Char"/>
    <w:basedOn w:val="Fontepargpadro"/>
    <w:link w:val="Cabealho"/>
    <w:uiPriority w:val="99"/>
    <w:rsid w:val="001A5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2</Pages>
  <Words>618</Words>
  <Characters>3339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Tadeu</dc:creator>
  <cp:lastModifiedBy>Candida</cp:lastModifiedBy>
  <cp:revision>10</cp:revision>
  <cp:lastPrinted>2025-07-07T13:01:00Z</cp:lastPrinted>
  <dcterms:created xsi:type="dcterms:W3CDTF">2025-06-24T18:19:00Z</dcterms:created>
  <dcterms:modified xsi:type="dcterms:W3CDTF">2026-02-10T13:54:00Z</dcterms:modified>
</cp:coreProperties>
</file>