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28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RELATÓRIO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PROJETO DE LEI Nº 05 DE 2026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i/>
          <w:iCs/>
          <w:color w:val="434343"/>
          <w:sz w:val="24"/>
          <w:szCs w:val="24"/>
        </w:rPr>
      </w:pPr>
      <w:r>
        <w:rPr>
          <w:i/>
          <w:iCs/>
          <w:color w:val="434343"/>
          <w:sz w:val="24"/>
          <w:szCs w:val="24"/>
        </w:rPr>
        <w:t>“</w:t>
      </w:r>
      <w:r>
        <w:rPr>
          <w:i/>
          <w:iCs/>
          <w:color w:val="333333"/>
          <w:sz w:val="24"/>
          <w:szCs w:val="24"/>
          <w:highlight w:val="white"/>
        </w:rPr>
        <w:t xml:space="preserve">Fica reconhecido, como bem de valor educacional, histórico e cultural de natureza imaterial do município de </w:t>
      </w:r>
      <w:r>
        <w:rPr>
          <w:i/>
          <w:iCs/>
          <w:color w:val="333333"/>
          <w:sz w:val="24"/>
          <w:szCs w:val="24"/>
          <w:highlight w:val="white"/>
        </w:rPr>
        <w:t>mogi</w:t>
      </w:r>
      <w:r>
        <w:rPr>
          <w:i/>
          <w:iCs/>
          <w:color w:val="333333"/>
          <w:sz w:val="24"/>
          <w:szCs w:val="24"/>
          <w:highlight w:val="white"/>
        </w:rPr>
        <w:t xml:space="preserve"> mirim, a escola estadual monsenhor nora, em razão da sua relevância simbólica e contribuição à memória e identidade da comunidade </w:t>
      </w:r>
      <w:r>
        <w:rPr>
          <w:i/>
          <w:iCs/>
          <w:color w:val="333333"/>
          <w:sz w:val="24"/>
          <w:szCs w:val="24"/>
          <w:highlight w:val="white"/>
        </w:rPr>
        <w:t>local.</w:t>
      </w:r>
      <w:r>
        <w:rPr>
          <w:i/>
          <w:iCs/>
          <w:color w:val="434343"/>
          <w:sz w:val="24"/>
          <w:szCs w:val="24"/>
        </w:rPr>
        <w:t>”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RELAT</w:t>
      </w:r>
      <w:r>
        <w:rPr>
          <w:b/>
          <w:bCs/>
          <w:color w:val="404040"/>
          <w:sz w:val="24"/>
          <w:szCs w:val="24"/>
        </w:rPr>
        <w:t xml:space="preserve">OR: </w:t>
      </w:r>
      <w:r w:rsidR="004963A2">
        <w:rPr>
          <w:b/>
          <w:bCs/>
          <w:color w:val="404040"/>
          <w:sz w:val="24"/>
          <w:szCs w:val="24"/>
        </w:rPr>
        <w:t>VEREADOR JOÃO VICTOR GASPARINI</w:t>
      </w:r>
    </w:p>
    <w:p w:rsidR="00B828C4">
      <w:pPr>
        <w:spacing w:line="360" w:lineRule="auto"/>
        <w:jc w:val="both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B828C4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EXPOSIÇÃO DA MATÉRIA EM EXAME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color w:val="404040"/>
          <w:sz w:val="24"/>
          <w:szCs w:val="24"/>
        </w:rPr>
        <w:tab/>
      </w:r>
      <w:r>
        <w:rPr>
          <w:sz w:val="24"/>
          <w:szCs w:val="24"/>
        </w:rPr>
        <w:t xml:space="preserve">Trata-se do projeto de lei nº 05/2026, de autoria do vereador Ernani Luiz Donatti </w:t>
      </w:r>
      <w:r>
        <w:rPr>
          <w:sz w:val="24"/>
          <w:szCs w:val="24"/>
        </w:rPr>
        <w:t>Gragnanello</w:t>
      </w:r>
      <w:r>
        <w:rPr>
          <w:sz w:val="24"/>
          <w:szCs w:val="24"/>
        </w:rPr>
        <w:t xml:space="preserve">, que dispõe sobre o reconhecimento da </w:t>
      </w:r>
      <w:r w:rsidR="004963A2">
        <w:rPr>
          <w:sz w:val="24"/>
          <w:szCs w:val="24"/>
        </w:rPr>
        <w:t>E</w:t>
      </w:r>
      <w:r>
        <w:rPr>
          <w:sz w:val="24"/>
          <w:szCs w:val="24"/>
        </w:rPr>
        <w:t xml:space="preserve">scola </w:t>
      </w:r>
      <w:r w:rsidR="004963A2">
        <w:rPr>
          <w:sz w:val="24"/>
          <w:szCs w:val="24"/>
        </w:rPr>
        <w:t>E</w:t>
      </w:r>
      <w:r>
        <w:rPr>
          <w:sz w:val="24"/>
          <w:szCs w:val="24"/>
        </w:rPr>
        <w:t xml:space="preserve">stadual </w:t>
      </w:r>
      <w:r w:rsidR="004963A2">
        <w:rPr>
          <w:sz w:val="24"/>
          <w:szCs w:val="24"/>
        </w:rPr>
        <w:t>M</w:t>
      </w:r>
      <w:r>
        <w:rPr>
          <w:sz w:val="24"/>
          <w:szCs w:val="24"/>
        </w:rPr>
        <w:t xml:space="preserve">onsenhor </w:t>
      </w:r>
      <w:r w:rsidR="004963A2">
        <w:rPr>
          <w:sz w:val="24"/>
          <w:szCs w:val="24"/>
        </w:rPr>
        <w:t>N</w:t>
      </w:r>
      <w:r>
        <w:rPr>
          <w:sz w:val="24"/>
          <w:szCs w:val="24"/>
        </w:rPr>
        <w:t xml:space="preserve">ora como bem de valor educacional, histórico e cultural de </w:t>
      </w:r>
      <w:r>
        <w:rPr>
          <w:sz w:val="24"/>
          <w:szCs w:val="24"/>
        </w:rPr>
        <w:t xml:space="preserve">natureza imaterial do município de </w:t>
      </w:r>
      <w:r w:rsidR="004963A2">
        <w:rPr>
          <w:sz w:val="24"/>
          <w:szCs w:val="24"/>
        </w:rPr>
        <w:t>M</w:t>
      </w:r>
      <w:r>
        <w:rPr>
          <w:sz w:val="24"/>
          <w:szCs w:val="24"/>
        </w:rPr>
        <w:t xml:space="preserve">ogi </w:t>
      </w:r>
      <w:r w:rsidR="004963A2">
        <w:rPr>
          <w:sz w:val="24"/>
          <w:szCs w:val="24"/>
        </w:rPr>
        <w:t>M</w:t>
      </w:r>
      <w:r>
        <w:rPr>
          <w:sz w:val="24"/>
          <w:szCs w:val="24"/>
        </w:rPr>
        <w:t>irim, em razão de sua relevância simbólica e de sua contribuição para a memória e a identidade da comunidade local.</w:t>
      </w:r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proposição legislativa possui conteúdo essencialmente declaratório e tem por objetivo conferir reconhecimento institucional à importância histórica e social da referida unidade de ensino no contexto do município. </w:t>
      </w:r>
      <w:r w:rsidR="004963A2">
        <w:rPr>
          <w:sz w:val="24"/>
          <w:szCs w:val="24"/>
        </w:rPr>
        <w:t>C</w:t>
      </w:r>
      <w:r>
        <w:rPr>
          <w:sz w:val="24"/>
          <w:szCs w:val="24"/>
        </w:rPr>
        <w:t>onforme exposto na justificativa apresen</w:t>
      </w:r>
      <w:r>
        <w:rPr>
          <w:sz w:val="24"/>
          <w:szCs w:val="24"/>
        </w:rPr>
        <w:t xml:space="preserve">tada pelo autor, a </w:t>
      </w:r>
      <w:r w:rsidR="004963A2">
        <w:rPr>
          <w:sz w:val="24"/>
          <w:szCs w:val="24"/>
        </w:rPr>
        <w:t>Escola Estadual Monsenhor Nora</w:t>
      </w:r>
      <w:r w:rsidR="004963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possui longa trajetória na formação educacional de gerações de </w:t>
      </w:r>
      <w:r>
        <w:rPr>
          <w:sz w:val="24"/>
          <w:szCs w:val="24"/>
        </w:rPr>
        <w:t>mogimirianos</w:t>
      </w:r>
      <w:r>
        <w:rPr>
          <w:sz w:val="24"/>
          <w:szCs w:val="24"/>
        </w:rPr>
        <w:t>, desempenhando papel significativo no desenvolvimento cultural, educacional e social da cidade ao longo de décadas.</w:t>
      </w:r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matéria destaca ainda que a instituição educacional se consolidou como referência no ensino público estadual na região, além de ter servido, ao longo do tempo, como espaço de manifestações culturais, atividades artísticas e eventos comunitários, contribu</w:t>
      </w:r>
      <w:r>
        <w:rPr>
          <w:sz w:val="24"/>
          <w:szCs w:val="24"/>
        </w:rPr>
        <w:t xml:space="preserve">indo para a construção da memória coletiva local. </w:t>
      </w:r>
      <w:r w:rsidR="004963A2">
        <w:rPr>
          <w:sz w:val="24"/>
          <w:szCs w:val="24"/>
        </w:rPr>
        <w:t>N</w:t>
      </w:r>
      <w:r>
        <w:rPr>
          <w:sz w:val="24"/>
          <w:szCs w:val="24"/>
        </w:rPr>
        <w:t>esse sentido, o reconhecimento proposto busca valorizar a história da instituição e preservar sua relevância simbólica para a comunidade.</w:t>
      </w:r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é composto por dois artigos. </w:t>
      </w:r>
      <w:r w:rsidR="004963A2">
        <w:rPr>
          <w:sz w:val="24"/>
          <w:szCs w:val="24"/>
        </w:rPr>
        <w:t>O</w:t>
      </w:r>
      <w:r>
        <w:rPr>
          <w:sz w:val="24"/>
          <w:szCs w:val="24"/>
        </w:rPr>
        <w:t xml:space="preserve"> primeiro estabelece o reco</w:t>
      </w:r>
      <w:r>
        <w:rPr>
          <w:sz w:val="24"/>
          <w:szCs w:val="24"/>
        </w:rPr>
        <w:t xml:space="preserve">nhecimento da </w:t>
      </w:r>
      <w:r w:rsidR="004963A2">
        <w:rPr>
          <w:sz w:val="24"/>
          <w:szCs w:val="24"/>
        </w:rPr>
        <w:t>Escola Estadual Monsenhor Nora</w:t>
      </w:r>
      <w:r w:rsidR="004963A2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como bem de valor educacional, histórico e cultural de natureza imaterial do município de </w:t>
      </w:r>
      <w:r w:rsidR="004963A2">
        <w:rPr>
          <w:sz w:val="24"/>
          <w:szCs w:val="24"/>
        </w:rPr>
        <w:t>M</w:t>
      </w:r>
      <w:r>
        <w:rPr>
          <w:sz w:val="24"/>
          <w:szCs w:val="24"/>
        </w:rPr>
        <w:t xml:space="preserve">ogi </w:t>
      </w:r>
      <w:r w:rsidR="004963A2">
        <w:rPr>
          <w:sz w:val="24"/>
          <w:szCs w:val="24"/>
        </w:rPr>
        <w:t>M</w:t>
      </w:r>
      <w:r>
        <w:rPr>
          <w:sz w:val="24"/>
          <w:szCs w:val="24"/>
        </w:rPr>
        <w:t xml:space="preserve">irim. </w:t>
      </w:r>
      <w:r w:rsidR="004963A2">
        <w:rPr>
          <w:sz w:val="24"/>
          <w:szCs w:val="24"/>
        </w:rPr>
        <w:t>O</w:t>
      </w:r>
      <w:r>
        <w:rPr>
          <w:sz w:val="24"/>
          <w:szCs w:val="24"/>
        </w:rPr>
        <w:t xml:space="preserve"> segundo dispõe sobre a vigência da lei a partir de sua publicação.</w:t>
      </w:r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Dessa forma, a matéria submetida à análi</w:t>
      </w:r>
      <w:r>
        <w:rPr>
          <w:sz w:val="24"/>
          <w:szCs w:val="24"/>
        </w:rPr>
        <w:t>se desta comissão de justiça e redação consiste na apreciação da constitucionalidade, legalidade e técnica legislativa da proposição, nos termos das atribuições regimentais deste colegiado.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B828C4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CONCLUSÕES DO RELATOR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No plano material, a proposição é compatí</w:t>
      </w:r>
      <w:r>
        <w:rPr>
          <w:sz w:val="24"/>
          <w:szCs w:val="24"/>
        </w:rPr>
        <w:t xml:space="preserve">vel com o dever de proteção e valorização do patrimônio cultural, que abrange bens materiais e imateriais, incluindo referências à identidade, à ação e à memória social. </w:t>
      </w:r>
      <w:r w:rsidR="004963A2">
        <w:rPr>
          <w:sz w:val="24"/>
          <w:szCs w:val="24"/>
        </w:rPr>
        <w:t>O</w:t>
      </w:r>
      <w:r>
        <w:rPr>
          <w:sz w:val="24"/>
          <w:szCs w:val="24"/>
        </w:rPr>
        <w:t xml:space="preserve"> reconhecimento, na forma proposta, tem natureza predominantemente declaratória e sim</w:t>
      </w:r>
      <w:r>
        <w:rPr>
          <w:sz w:val="24"/>
          <w:szCs w:val="24"/>
        </w:rPr>
        <w:t xml:space="preserve">bólica, voltada à salvaguarda da memória e ao fortalecimento de identidade comunitária, sem criar, por si, obrigações administrativas complexas, regime jurídico novo, despesa vinculante ou ingerência direta na gestão da unidade escolar (que integra a rede </w:t>
      </w:r>
      <w:r>
        <w:rPr>
          <w:sz w:val="24"/>
          <w:szCs w:val="24"/>
        </w:rPr>
        <w:t xml:space="preserve">estadual). </w:t>
      </w:r>
      <w:r w:rsidR="004963A2">
        <w:rPr>
          <w:sz w:val="24"/>
          <w:szCs w:val="24"/>
        </w:rPr>
        <w:t>A</w:t>
      </w:r>
      <w:r>
        <w:rPr>
          <w:sz w:val="24"/>
          <w:szCs w:val="24"/>
        </w:rPr>
        <w:t>o reconhecer o valor cultural imaterial associado à instituição, o município atua no campo da promoção de sua memória coletiva, o que é coerente com a proteção do patrimônio cultural local e com políticas públicas de valorização cultural, educa</w:t>
      </w:r>
      <w:r>
        <w:rPr>
          <w:sz w:val="24"/>
          <w:szCs w:val="24"/>
        </w:rPr>
        <w:t>cional e histórica.</w:t>
      </w:r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plano formal (competência e iniciativa), não se identifica vício. </w:t>
      </w:r>
      <w:r w:rsidR="004963A2">
        <w:rPr>
          <w:sz w:val="24"/>
          <w:szCs w:val="24"/>
        </w:rPr>
        <w:t>T</w:t>
      </w:r>
      <w:r>
        <w:rPr>
          <w:sz w:val="24"/>
          <w:szCs w:val="24"/>
        </w:rPr>
        <w:t>rata-se de matéria de interesse local e de proteção do patrimônio cultural, tema que admite atuação normativa municipal, e que não se confunde com organização adminis</w:t>
      </w:r>
      <w:r>
        <w:rPr>
          <w:sz w:val="24"/>
          <w:szCs w:val="24"/>
        </w:rPr>
        <w:t xml:space="preserve">trativa do executivo, regime de servidores, criação de órgãos, estruturação de secretarias ou disciplina orçamentária típica de iniciativa reservada. </w:t>
      </w:r>
      <w:r w:rsidR="004963A2">
        <w:rPr>
          <w:sz w:val="24"/>
          <w:szCs w:val="24"/>
        </w:rPr>
        <w:t>A</w:t>
      </w:r>
      <w:r>
        <w:rPr>
          <w:sz w:val="24"/>
          <w:szCs w:val="24"/>
        </w:rPr>
        <w:t xml:space="preserve"> proposição, como apresentada, limita-se ao reconhecimento do valor cultural imaterial, não invadindo cam</w:t>
      </w:r>
      <w:r>
        <w:rPr>
          <w:sz w:val="24"/>
          <w:szCs w:val="24"/>
        </w:rPr>
        <w:t>po de atos administrativos típicos (como tombamento com restrições dominiais, criação de rotinas administrativas obrigatórias, imposição de deveres concretos imediatos, prazos peremptórios de regulamentação ou determinação de despesas), preservando a separ</w:t>
      </w:r>
      <w:r>
        <w:rPr>
          <w:sz w:val="24"/>
          <w:szCs w:val="24"/>
        </w:rPr>
        <w:t>ação de poderes.</w:t>
      </w:r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Quanto à técnica legislativa, o projeto é objetivo e compreensível, mas comporta ajustes simples que aumentam a correção formal sem alterar o mérito: (a) inclusão de ementa; (b) eventual inclusão de preâm</w:t>
      </w:r>
      <w:r>
        <w:rPr>
          <w:sz w:val="24"/>
          <w:szCs w:val="24"/>
        </w:rPr>
        <w:t>bulo</w:t>
      </w:r>
      <w:sdt>
        <w:sdtPr>
          <w:rPr>
            <w:sz w:val="24"/>
            <w:szCs w:val="24"/>
          </w:rPr>
          <w:tag w:val="goog_rdk_0"/>
          <w:id w:val="1232099696"/>
          <w:richText/>
        </w:sdtPr>
        <w:sdtContent>
          <w:r w:rsidRPr="004963A2">
            <w:rPr>
              <w:sz w:val="24"/>
              <w:szCs w:val="24"/>
            </w:rPr>
            <w:t xml:space="preserve"> </w:t>
          </w:r>
          <w:r w:rsidRPr="004963A2">
            <w:rPr>
              <w:sz w:val="24"/>
              <w:szCs w:val="24"/>
            </w:rPr>
            <w:t>padrão; (c) correção pontual d</w:t>
          </w:r>
          <w:r w:rsidRPr="004963A2">
            <w:rPr>
              <w:sz w:val="24"/>
              <w:szCs w:val="24"/>
            </w:rPr>
            <w:t xml:space="preserve">e grafia (“património” → “patrimônio”); (d) padronização de maiúsculas/minúsculas (evitar capitalizações desnecessárias) e uniformização redacional. </w:t>
          </w:r>
          <w:r w:rsidRPr="004963A2" w:rsidR="004963A2">
            <w:rPr>
              <w:sz w:val="24"/>
              <w:szCs w:val="24"/>
            </w:rPr>
            <w:t>E</w:t>
          </w:r>
          <w:r w:rsidRPr="004963A2">
            <w:rPr>
              <w:sz w:val="24"/>
              <w:szCs w:val="24"/>
            </w:rPr>
            <w:t>ssas melhorias não são condicionantes de constitucionalidade, mas elevam a qualidade normativa e a aderênc</w:t>
          </w:r>
          <w:r w:rsidRPr="004963A2">
            <w:rPr>
              <w:sz w:val="24"/>
              <w:szCs w:val="24"/>
            </w:rPr>
            <w:t>ia às regras de redação legislativa</w:t>
          </w:r>
          <w:r w:rsidRPr="004963A2">
            <w:rPr>
              <w:sz w:val="24"/>
              <w:szCs w:val="24"/>
            </w:rPr>
            <w:t>.</w:t>
          </w:r>
        </w:sdtContent>
      </w:sdt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Sobre a efetividade prática, o projeto, por ser essencialmente declaratório, cumpre importante função institucional de reconhecim</w:t>
      </w:r>
      <w:r w:rsidR="004963A2">
        <w:rPr>
          <w:sz w:val="24"/>
          <w:szCs w:val="24"/>
        </w:rPr>
        <w:t>ento e preservação da memória. S</w:t>
      </w:r>
      <w:r>
        <w:rPr>
          <w:sz w:val="24"/>
          <w:szCs w:val="24"/>
        </w:rPr>
        <w:t>e a intenção do autor e da casa for ampliar efeitos, rec</w:t>
      </w:r>
      <w:r>
        <w:rPr>
          <w:sz w:val="24"/>
          <w:szCs w:val="24"/>
        </w:rPr>
        <w:t>omenda-se cautela: dispositivos que “determinem” providências administrativas ao executivo, criem comissões obrigatórias, imponham obrigações específicas e imediatas ou fixem prazos obrigatórios para regulamentação tendem a elevar o risco de questionamento</w:t>
      </w:r>
      <w:r w:rsidR="004963A2">
        <w:rPr>
          <w:sz w:val="24"/>
          <w:szCs w:val="24"/>
        </w:rPr>
        <w:t xml:space="preserve"> por separação de poderes. C</w:t>
      </w:r>
      <w:r>
        <w:rPr>
          <w:sz w:val="24"/>
          <w:szCs w:val="24"/>
        </w:rPr>
        <w:t xml:space="preserve">aso se deseje fortalecer a política pública sem </w:t>
      </w:r>
      <w:r>
        <w:rPr>
          <w:sz w:val="24"/>
          <w:szCs w:val="24"/>
        </w:rPr>
        <w:t>tensionar</w:t>
      </w:r>
      <w:r>
        <w:rPr>
          <w:sz w:val="24"/>
          <w:szCs w:val="24"/>
        </w:rPr>
        <w:t xml:space="preserve"> competências, é mais seguro adotar comandos </w:t>
      </w:r>
      <w:r>
        <w:rPr>
          <w:b/>
          <w:bCs/>
          <w:sz w:val="24"/>
          <w:szCs w:val="24"/>
        </w:rPr>
        <w:t>programáticos</w:t>
      </w:r>
      <w:r>
        <w:rPr>
          <w:sz w:val="24"/>
          <w:szCs w:val="24"/>
        </w:rPr>
        <w:t xml:space="preserve"> (de incentivo) e/ou recomendações não vinculantes, preservando a discricionariedade administrativa.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p w:rsidR="00B828C4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 xml:space="preserve">CONCLUSÃO </w:t>
      </w:r>
      <w:r>
        <w:rPr>
          <w:color w:val="404040"/>
          <w:sz w:val="24"/>
          <w:szCs w:val="24"/>
        </w:rPr>
        <w:t xml:space="preserve">FINAL 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 xml:space="preserve">Diante disso, </w:t>
      </w:r>
      <w:r>
        <w:rPr>
          <w:b/>
          <w:bCs/>
          <w:sz w:val="24"/>
          <w:szCs w:val="24"/>
        </w:rPr>
        <w:t>opino favoravelmente</w:t>
      </w:r>
      <w:r>
        <w:rPr>
          <w:sz w:val="24"/>
          <w:szCs w:val="24"/>
        </w:rPr>
        <w:t xml:space="preserve"> à aprovação do projeto de lei nº 05/2026, por atender ao interesse público local, revelar compatibilidade material com a proteção do patrimônio cultural (inclusive imaterial), não apresentar vício de iniciativa e </w:t>
      </w:r>
      <w:r>
        <w:rPr>
          <w:sz w:val="24"/>
          <w:szCs w:val="24"/>
        </w:rPr>
        <w:t>manter redação simples, de baixo impacto e sem ingerência indevida sobre atribuições do poder executivo.</w:t>
      </w:r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Sugestões de aperfeiçoamento (sem prejuízo do mérito):</w:t>
      </w:r>
      <w:r>
        <w:rPr>
          <w:sz w:val="24"/>
          <w:szCs w:val="24"/>
        </w:rPr>
        <w:t xml:space="preserve"> inserir ementa; ajustar preâmbulo (facultativo); corrigir “património” para “patrimônio”;</w:t>
      </w:r>
      <w:r w:rsidR="004963A2">
        <w:rPr>
          <w:sz w:val="24"/>
          <w:szCs w:val="24"/>
        </w:rPr>
        <w:t xml:space="preserve"> e,</w:t>
      </w:r>
      <w:r>
        <w:rPr>
          <w:sz w:val="24"/>
          <w:szCs w:val="24"/>
        </w:rPr>
        <w:t xml:space="preserve"> padron</w:t>
      </w:r>
      <w:r>
        <w:rPr>
          <w:sz w:val="24"/>
          <w:szCs w:val="24"/>
        </w:rPr>
        <w:t>izar redação</w:t>
      </w:r>
      <w:r w:rsidR="004963A2">
        <w:rPr>
          <w:sz w:val="24"/>
          <w:szCs w:val="24"/>
        </w:rPr>
        <w:t xml:space="preserve"> de letras maiúsculas/minúsculas.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B828C4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III - DECISÃO DA COMISSÃO</w:t>
      </w:r>
    </w:p>
    <w:p w:rsidR="00B828C4">
      <w:pPr>
        <w:spacing w:before="280" w:after="280" w:line="360" w:lineRule="auto"/>
        <w:jc w:val="both"/>
        <w:rPr>
          <w:sz w:val="24"/>
          <w:szCs w:val="24"/>
        </w:rPr>
      </w:pPr>
      <w:r>
        <w:tab/>
        <w:t xml:space="preserve"> </w:t>
      </w:r>
      <w:r>
        <w:rPr>
          <w:sz w:val="24"/>
          <w:szCs w:val="24"/>
        </w:rPr>
        <w:t>A Comissão de Justiça e Redação, acompanhando o voto do relator, delibera pela constitucionalidade, juridicidade e boa técnica legislativa do Projeto de Lei nº 05/2026 opinando por sua regular tramitação e aprovação.</w:t>
      </w:r>
    </w:p>
    <w:p w:rsidR="00B828C4">
      <w:pPr>
        <w:spacing w:before="280" w:after="280" w:line="360" w:lineRule="auto"/>
        <w:jc w:val="both"/>
        <w:rPr>
          <w:sz w:val="24"/>
          <w:szCs w:val="24"/>
        </w:rPr>
      </w:pPr>
      <w:r>
        <w:pict>
          <v:rect id="_x0000_i1029" style="width:0;height:1.5pt" o:hralign="center" o:hrstd="t" o:hr="t" fillcolor="#a0a0a0" stroked="f"/>
        </w:pic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Assinam os membros da Comissão de Justiça e Redação que votaram a favor:</w:t>
      </w:r>
    </w:p>
    <w:p w:rsidR="00B828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 xml:space="preserve">Vereador </w:t>
      </w:r>
      <w:r w:rsidR="004963A2">
        <w:rPr>
          <w:color w:val="404040"/>
          <w:sz w:val="24"/>
          <w:szCs w:val="24"/>
        </w:rPr>
        <w:t>João Victor Gasparini (Vice-Presidente)</w:t>
      </w:r>
    </w:p>
    <w:p w:rsidR="00B828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Vereador Wagner Ricardo Pereira (Presidente)</w:t>
      </w:r>
    </w:p>
    <w:p w:rsidR="00B828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</w:pPr>
      <w:r>
        <w:rPr>
          <w:color w:val="404040"/>
          <w:sz w:val="24"/>
          <w:szCs w:val="24"/>
        </w:rPr>
        <w:t xml:space="preserve">Vereador </w:t>
      </w:r>
      <w:r>
        <w:rPr>
          <w:color w:val="404040"/>
          <w:sz w:val="24"/>
          <w:szCs w:val="24"/>
        </w:rPr>
        <w:t>Wilians</w:t>
      </w:r>
      <w:r>
        <w:rPr>
          <w:color w:val="404040"/>
          <w:sz w:val="24"/>
          <w:szCs w:val="24"/>
        </w:rPr>
        <w:t xml:space="preserve"> Mendes de Oliveira (Membro)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</w:pPr>
      <w:r>
        <w:pict>
          <v:rect id="_x0000_i1030" style="width:0;height:1.5pt" o:hralign="center" o:hrstd="t" o:hr="t" fillcolor="#a0a0a0" stroked="f"/>
        </w:pic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 04 de março de 2026.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</w:p>
    <w:p w:rsidR="00B828C4">
      <w:pPr>
        <w:spacing w:before="240"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B828C4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VEREADOR </w:t>
      </w:r>
      <w:r w:rsidR="004963A2">
        <w:rPr>
          <w:b/>
          <w:bCs/>
          <w:sz w:val="24"/>
          <w:szCs w:val="24"/>
          <w:u w:val="single"/>
        </w:rPr>
        <w:t>JOÃO VICTOR GASPARINI</w:t>
      </w:r>
    </w:p>
    <w:p w:rsidR="00B828C4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Relator</w:t>
      </w:r>
    </w:p>
    <w:p w:rsidR="00B828C4">
      <w:pPr>
        <w:spacing w:line="360" w:lineRule="auto"/>
        <w:jc w:val="both"/>
        <w:rPr>
          <w:sz w:val="24"/>
          <w:szCs w:val="24"/>
        </w:rPr>
      </w:pPr>
    </w:p>
    <w:p w:rsidR="00B828C4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828C4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828C4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828C4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828C4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828C4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828C4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828C4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828C4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828C4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828C4">
      <w:pPr>
        <w:spacing w:line="360" w:lineRule="auto"/>
        <w:jc w:val="both"/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REFERÊNCIAS</w:t>
      </w:r>
    </w:p>
    <w:p w:rsidR="00B828C4">
      <w:pPr>
        <w:jc w:val="both"/>
        <w:rPr>
          <w:sz w:val="24"/>
          <w:szCs w:val="24"/>
        </w:rPr>
      </w:pPr>
      <w:r>
        <w:rPr>
          <w:sz w:val="24"/>
          <w:szCs w:val="24"/>
        </w:rPr>
        <w:t>BRASIL. Constituição (1988). Constituição da República Federativa do Brasil. Brasília, DF: Senado Federal, 1988.</w:t>
      </w: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  <w:r>
        <w:rPr>
          <w:sz w:val="24"/>
          <w:szCs w:val="24"/>
        </w:rPr>
        <w:t>BRASIL. Lei Complementar nº 95, de 26 de fevereiro de 1998. Dispõe sobre a elaboração, a redação, a alteração e a consolidação das leis, conforme determina o parágrafo único do art. 59 da Constituição Federal, e estabelece normas para a consolidação dos at</w:t>
      </w:r>
      <w:r>
        <w:rPr>
          <w:sz w:val="24"/>
          <w:szCs w:val="24"/>
        </w:rPr>
        <w:t>os normativos que menciona. Diário Oficial da União: seção 1, Brasília, DF, 27 fev. 1998.</w:t>
      </w: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BRASIL. </w:t>
      </w:r>
      <w:r>
        <w:rPr>
          <w:b/>
          <w:bCs/>
          <w:sz w:val="24"/>
          <w:szCs w:val="24"/>
        </w:rPr>
        <w:t>Supremo Tribunal Federal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Tema 917 da Repercussão Geral – ARE 878.911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Tese: “Não usurpa a competência privativa do Chefe do Poder Executivo lei que, embora </w:t>
      </w:r>
      <w:r>
        <w:rPr>
          <w:sz w:val="24"/>
          <w:szCs w:val="24"/>
        </w:rPr>
        <w:t xml:space="preserve">crie despesa para a Administração, não trata da sua estrutura ou da atribuição de seus órgãos, nem do regime jurídico de servidores </w:t>
      </w:r>
      <w:r>
        <w:rPr>
          <w:sz w:val="24"/>
          <w:szCs w:val="24"/>
        </w:rPr>
        <w:t>públicos.”</w:t>
      </w:r>
      <w:r>
        <w:rPr>
          <w:sz w:val="24"/>
          <w:szCs w:val="24"/>
        </w:rPr>
        <w:br/>
        <w:t xml:space="preserve">Disponível em: </w:t>
      </w:r>
      <w:hyperlink r:id="rId5" w:history="1">
        <w:r>
          <w:rPr>
            <w:color w:val="0000FF"/>
            <w:sz w:val="24"/>
            <w:szCs w:val="24"/>
            <w:u w:val="single"/>
          </w:rPr>
          <w:t>htt</w:t>
        </w:r>
        <w:r>
          <w:rPr>
            <w:color w:val="0000FF"/>
            <w:sz w:val="24"/>
            <w:szCs w:val="24"/>
            <w:u w:val="single"/>
          </w:rPr>
          <w:t>ps://redir.stf.jus.br/paginadorpub/paginador.jsp?docTP=TP&amp;docID=11828222</w:t>
        </w:r>
      </w:hyperlink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sz w:val="24"/>
          <w:szCs w:val="24"/>
        </w:rPr>
      </w:pPr>
    </w:p>
    <w:p w:rsidR="00B828C4">
      <w:pPr>
        <w:jc w:val="both"/>
        <w:rPr>
          <w:b/>
          <w:bCs/>
          <w:color w:val="404040"/>
          <w:sz w:val="24"/>
          <w:szCs w:val="24"/>
        </w:rPr>
      </w:pPr>
      <w:bookmarkStart w:id="1" w:name="_heading=h.jag821lb3ggf" w:colFirst="0" w:colLast="0"/>
      <w:bookmarkEnd w:id="1"/>
    </w:p>
    <w:p w:rsidR="00B828C4">
      <w:pPr>
        <w:jc w:val="both"/>
        <w:rPr>
          <w:b/>
          <w:bCs/>
          <w:color w:val="404040"/>
          <w:sz w:val="24"/>
          <w:szCs w:val="24"/>
        </w:rPr>
      </w:pPr>
    </w:p>
    <w:p w:rsidR="00B828C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bookmarkStart w:id="2" w:name="_heading=h.qf8eea3opqsm" w:colFirst="0" w:colLast="0"/>
      <w:bookmarkEnd w:id="2"/>
      <w:r>
        <w:rPr>
          <w:b/>
          <w:bCs/>
          <w:color w:val="000000"/>
          <w:sz w:val="24"/>
          <w:szCs w:val="24"/>
        </w:rPr>
        <w:t xml:space="preserve">PARECER DA COMISSÃO DE JUSTIÇA E REDAÇÃO AO PROJETO DE LEI Nº </w:t>
      </w:r>
      <w:r>
        <w:rPr>
          <w:b/>
          <w:bCs/>
          <w:sz w:val="24"/>
          <w:szCs w:val="24"/>
        </w:rPr>
        <w:t>05/2026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 xml:space="preserve">A Comissão de Justiça e Redação, no uso de suas atribuições regimentais, nos termos do art. 35 da Resolução nº 276, de 9 de novembro de 2010 (Regimento Interno da Câmara Municipal de Mogi Mirim), após análise do Projeto de Lei nº 05 de 2026, de autoria do </w:t>
      </w:r>
      <w:r>
        <w:rPr>
          <w:sz w:val="24"/>
          <w:szCs w:val="24"/>
        </w:rPr>
        <w:t xml:space="preserve">Vereador Ernani Luiz Donatti </w:t>
      </w:r>
      <w:r>
        <w:rPr>
          <w:sz w:val="24"/>
          <w:szCs w:val="24"/>
        </w:rPr>
        <w:t>Gragnanello</w:t>
      </w:r>
      <w:r>
        <w:rPr>
          <w:sz w:val="24"/>
          <w:szCs w:val="24"/>
        </w:rPr>
        <w:t>, opina favoravelmente à sua aprovação, considerando que a matéria se encontra em conformidade com as normas constitucionais, legais e regimentais aplicáveis.</w:t>
      </w:r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Projeto de Lei nº 05/2026 reconhece a Escola Estadual M</w:t>
      </w:r>
      <w:r>
        <w:rPr>
          <w:sz w:val="24"/>
          <w:szCs w:val="24"/>
        </w:rPr>
        <w:t>onsenhor Nora como bem de valor educacional, histórico e cultural de natureza imaterial do Município de Mogi Mirim, em razão de sua relevância simbólica e de sua contribuição para a memória e a identidade da comunidade local. A proposição possui caráter es</w:t>
      </w:r>
      <w:r>
        <w:rPr>
          <w:sz w:val="24"/>
          <w:szCs w:val="24"/>
        </w:rPr>
        <w:t xml:space="preserve">sencialmente declaratório, voltado ao reconhecimento institucional da importância histórica e educacional da referida unidade de ensino, cuja trajetória se confunde com a própria formação educacional de diversas gerações de </w:t>
      </w:r>
      <w:r>
        <w:rPr>
          <w:sz w:val="24"/>
          <w:szCs w:val="24"/>
        </w:rPr>
        <w:t>mogimirianos</w:t>
      </w:r>
      <w:r>
        <w:rPr>
          <w:sz w:val="24"/>
          <w:szCs w:val="24"/>
        </w:rPr>
        <w:t>, consolidando-se co</w:t>
      </w:r>
      <w:r>
        <w:rPr>
          <w:sz w:val="24"/>
          <w:szCs w:val="24"/>
        </w:rPr>
        <w:t>mo referência no ensino público e como espaço de relevante expressão cultural e social.</w:t>
      </w:r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Sob o aspecto jurídico-constitucional, a matéria insere-se no âmbito do interesse local, nos termos do art. 30, inciso I, da Constituição Federal, bem como encontra respaldo no art. 216 da Constituição Federal, que estabelece a proteção do patrimônio cultu</w:t>
      </w:r>
      <w:r>
        <w:rPr>
          <w:sz w:val="24"/>
          <w:szCs w:val="24"/>
        </w:rPr>
        <w:t>ral brasileiro, compreendendo os bens de natureza material e imaterial portadores de referência à identidade, à ação e à memória dos diferentes grupos formadores da sociedade. Nesse contexto, o reconhecimento legislativo de valor cultural imaterial constit</w:t>
      </w:r>
      <w:r>
        <w:rPr>
          <w:sz w:val="24"/>
          <w:szCs w:val="24"/>
        </w:rPr>
        <w:t>ui instrumento legítimo de preservação da memória coletiva e de valorização da história local.</w:t>
      </w:r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Não se verifica vício de iniciativa, uma vez que o projeto não cria órgãos, cargos ou atribuições administrativas, tampouco interfere na organização ou funcionam</w:t>
      </w:r>
      <w:r>
        <w:rPr>
          <w:sz w:val="24"/>
          <w:szCs w:val="24"/>
        </w:rPr>
        <w:t>ento da Administração Pública. A proposição limita-se ao reconhecimento simbólico de relevância histórica e cultural, sem impor obrigações administrativas específicas ao Poder Executivo, não havendo afronta ao princípio da separação dos poderes.</w:t>
      </w:r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proposiç</w:t>
      </w:r>
      <w:r>
        <w:rPr>
          <w:sz w:val="24"/>
          <w:szCs w:val="24"/>
        </w:rPr>
        <w:t>ão também não acarreta criação de despesa pública obrigatória nem implica ampliação de despesa continuada, razão pela qual não se exige a apresentação de estimativa de impacto orçamentário-financeiro, estando, portanto, em conformidade com as disposições d</w:t>
      </w:r>
      <w:r>
        <w:rPr>
          <w:sz w:val="24"/>
          <w:szCs w:val="24"/>
        </w:rPr>
        <w:t>a Lei de Responsabilidade Fiscal.</w:t>
      </w:r>
    </w:p>
    <w:p w:rsidR="00B828C4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Diante do exposto, a Comissão de Justiça e Redação conclui pela constitucionalidade, juridicidade e adequação à técnica legislativa do Projeto de Lei nº 05/2026, opinando favoravelmente à sua tramitação e aprovação, por se</w:t>
      </w:r>
      <w:r>
        <w:rPr>
          <w:sz w:val="24"/>
          <w:szCs w:val="24"/>
        </w:rPr>
        <w:t xml:space="preserve"> tratar de iniciativa legítima do Poder Legislativo, compatível com o interesse público local e alinhada aos princípios de valorização da memória histórica, educacional e cultural do Município de Mogi Mirim.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COMISSÃO DE JUSTIÇA E REDAÇÃO</w:t>
      </w:r>
    </w:p>
    <w:p w:rsidR="00B828C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color w:val="404040"/>
          <w:sz w:val="24"/>
          <w:szCs w:val="24"/>
          <w:u w:val="single"/>
        </w:rPr>
      </w:pPr>
    </w:p>
    <w:p w:rsidR="00B828C4">
      <w:pPr>
        <w:spacing w:before="24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</w:t>
      </w:r>
      <w:r>
        <w:rPr>
          <w:i/>
          <w:iCs/>
          <w:sz w:val="24"/>
          <w:szCs w:val="24"/>
        </w:rPr>
        <w:t>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WAGNER RICARDO PEREIRA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Presidente</w:t>
      </w:r>
    </w:p>
    <w:p w:rsidR="00B828C4">
      <w:pPr>
        <w:spacing w:before="24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</w:t>
      </w:r>
      <w:r w:rsidR="004963A2">
        <w:rPr>
          <w:b/>
          <w:bCs/>
          <w:sz w:val="24"/>
          <w:szCs w:val="24"/>
        </w:rPr>
        <w:t xml:space="preserve"> JOÃO VICTOR GASPARINI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Vice-Presidente</w:t>
      </w:r>
    </w:p>
    <w:p w:rsidR="00B828C4">
      <w:pPr>
        <w:spacing w:before="240"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WILIANS MENDES DE OLIVEIRA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Membro</w:t>
      </w:r>
    </w:p>
    <w:sectPr>
      <w:headerReference w:type="even" r:id="rId6"/>
      <w:headerReference w:type="default" r:id="rId7"/>
      <w:footerReference w:type="default" r:id="rId8"/>
      <w:pgSz w:w="11907" w:h="16840"/>
      <w:pgMar w:top="2127" w:right="1134" w:bottom="1560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sig w:usb0="00000000" w:usb1="00000000" w:usb2="00000000" w:usb3="00000000" w:csb0="00000001" w:csb1="00000000"/>
    <w:embedRegular r:id="rId1" w:fontKey="{61585DC5-9559-47C5-8B41-7F001446DFF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DC0638BA-BF1C-47AD-B963-C1698849EB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3" w:fontKey="{6033D879-3BE4-4F4A-BFAF-F95F4D2A158A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4" w:fontKey="{D4B4066A-E477-41C2-9137-B7D35CDB2CC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A1C9B8F-A877-446B-8DE0-57320E4D6F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1C00646-0253-4E21-94EE-614EED827B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9F4016A-28E1-4D3B-A3F6-8224B0E928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8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  <w:sz w:val="18"/>
        <w:szCs w:val="18"/>
      </w:rPr>
    </w:pPr>
  </w:p>
  <w:p w:rsidR="00B828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828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8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828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8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>Estado de São Paulo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-923918</wp:posOffset>
          </wp:positionH>
          <wp:positionV relativeFrom="paragraph">
            <wp:posOffset>-247644</wp:posOffset>
          </wp:positionV>
          <wp:extent cx="1341380" cy="942975"/>
          <wp:effectExtent l="0" t="0" r="0" b="0"/>
          <wp:wrapNone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4030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828C4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b/>
        <w:bCs/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>CÂMARA MUNICIPAL DE MOGI MIRIM</w:t>
    </w:r>
  </w:p>
  <w:p w:rsidR="00B828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092056"/>
    <w:multiLevelType w:val="multilevel"/>
    <w:tmpl w:val="7750AA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47181BF0"/>
    <w:multiLevelType w:val="multilevel"/>
    <w:tmpl w:val="1C46160E"/>
    <w:lvl w:ilvl="0">
      <w:start w:val="1"/>
      <w:numFmt w:val="upperRoman"/>
      <w:lvlText w:val="%1."/>
      <w:lvlJc w:val="right"/>
      <w:pPr>
        <w:ind w:left="7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C4"/>
    <w:rsid w:val="0045322E"/>
    <w:rsid w:val="004963A2"/>
    <w:rsid w:val="00B82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635EA27-2AB1-4BD8-B8AE-3A4C08E0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1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relative">
    <w:name w:val="relative"/>
    <w:basedOn w:val="DefaultParagraphFont"/>
    <w:rsid w:val="007029F5"/>
  </w:style>
  <w:style w:type="paragraph" w:customStyle="1" w:styleId="not-prose">
    <w:name w:val="not-prose"/>
    <w:basedOn w:val="Normal"/>
    <w:rsid w:val="007029F5"/>
    <w:pPr>
      <w:spacing w:before="100" w:beforeAutospacing="1" w:after="100" w:afterAutospacing="1"/>
    </w:pPr>
    <w:rPr>
      <w:sz w:val="24"/>
      <w:szCs w:val="24"/>
    </w:rPr>
  </w:style>
  <w:style w:type="paragraph" w:customStyle="1" w:styleId="whitespace-normal">
    <w:name w:val="whitespace-normal"/>
    <w:basedOn w:val="Normal"/>
    <w:rsid w:val="00DF3417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edir.stf.jus.br/paginadorpub/paginador.jsp?docTP=TP&amp;docID=11828222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mFelaupUxT6GNQ5jO89s3XGGBw==">CgMxLjAaEgoBMBINCgsIB0IHEgVDYXJkbzIOaC5qYWc4MjFsYjNnZ2YyDmgucWY4ZWVhM29wcXNtOAByITFrcHR3Q3Y2R1JSX2Q4V1FfUTUwcVpqWHB4M1FnN19YMA==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1626</Words>
  <Characters>8781</Characters>
  <Application>Microsoft Office Word</Application>
  <DocSecurity>0</DocSecurity>
  <Lines>73</Lines>
  <Paragraphs>20</Paragraphs>
  <ScaleCrop>false</ScaleCrop>
  <Company/>
  <LinksUpToDate>false</LinksUpToDate>
  <CharactersWithSpaces>10387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2</cp:revision>
  <dcterms:created xsi:type="dcterms:W3CDTF">2026-01-21T12:04:00Z</dcterms:created>
  <dcterms:modified xsi:type="dcterms:W3CDTF">2026-03-05T12:30:00Z</dcterms:modified>
</cp:coreProperties>
</file>