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4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PROJETO DE LEI Nº 12 DE 2026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i/>
          <w:iCs/>
          <w:color w:val="434343"/>
          <w:sz w:val="24"/>
          <w:szCs w:val="24"/>
        </w:rPr>
      </w:pPr>
      <w:r>
        <w:rPr>
          <w:i/>
          <w:iCs/>
          <w:color w:val="434343"/>
          <w:sz w:val="24"/>
          <w:szCs w:val="24"/>
        </w:rPr>
        <w:t>“</w:t>
      </w:r>
      <w:r w:rsidR="005D201B">
        <w:rPr>
          <w:i/>
          <w:iCs/>
          <w:color w:val="333333"/>
          <w:sz w:val="24"/>
          <w:szCs w:val="24"/>
          <w:highlight w:val="white"/>
        </w:rPr>
        <w:t>Institui</w:t>
      </w:r>
      <w:r>
        <w:rPr>
          <w:i/>
          <w:iCs/>
          <w:color w:val="333333"/>
          <w:sz w:val="24"/>
          <w:szCs w:val="24"/>
          <w:highlight w:val="white"/>
        </w:rPr>
        <w:t xml:space="preserve">, no âmbito das escolas públicas municipais e particulares do município de Mogi Mirim, o programa bombeiro mirim municipal — programa inclusivo, e dá outras </w:t>
      </w:r>
      <w:r>
        <w:rPr>
          <w:i/>
          <w:iCs/>
          <w:color w:val="333333"/>
          <w:sz w:val="24"/>
          <w:szCs w:val="24"/>
          <w:highlight w:val="white"/>
        </w:rPr>
        <w:t>providências.</w:t>
      </w:r>
      <w:r>
        <w:rPr>
          <w:i/>
          <w:iCs/>
          <w:color w:val="434343"/>
          <w:sz w:val="24"/>
          <w:szCs w:val="24"/>
        </w:rPr>
        <w:t>”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 xml:space="preserve">RELATOR: </w:t>
      </w:r>
      <w:r w:rsidR="005D201B">
        <w:rPr>
          <w:b/>
          <w:bCs/>
          <w:color w:val="404040"/>
          <w:sz w:val="24"/>
          <w:szCs w:val="24"/>
        </w:rPr>
        <w:t>VEREADOR JOÃO VICTOR GASPARINI</w:t>
      </w:r>
    </w:p>
    <w:p w:rsidR="00124860">
      <w:pPr>
        <w:spacing w:line="360" w:lineRule="auto"/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124860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EXPOSIÇÃO DA MATÉRIA EM EXAME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404040"/>
          <w:sz w:val="24"/>
          <w:szCs w:val="24"/>
        </w:rPr>
        <w:tab/>
      </w:r>
      <w:r>
        <w:rPr>
          <w:sz w:val="24"/>
          <w:szCs w:val="24"/>
        </w:rPr>
        <w:t>O Projeto de Lei nº 12/2026 tem por finalidade instituir, no âmbito do Município de Mogi Mirim, o Programa Bombeiro Mirim Municipal – Programa Inclusivo, destinado a crianças e adolescentes com idade entre 7 e 17 anos, matric</w:t>
      </w:r>
      <w:r>
        <w:rPr>
          <w:sz w:val="24"/>
          <w:szCs w:val="24"/>
        </w:rPr>
        <w:t>ulados em escolas públicas ou particulares do município. A proposta estabelece um conjunto de ações educativas, formativas e preventivas, voltadas à promoção da cidadania, à difusão de noções de primeiros socorros, à prevenção de acidentes, à educação ambi</w:t>
      </w:r>
      <w:r>
        <w:rPr>
          <w:sz w:val="24"/>
          <w:szCs w:val="24"/>
        </w:rPr>
        <w:t>ental, ao civismo e ao fortalecimento de valores comunitários.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 termos do projeto, o programa será coordenado pela Secretaria Municipal de Segurança Pública e Defesa Civil, por meio do Bombeiro Civil Municipal, em articulação com a </w:t>
      </w:r>
      <w:r>
        <w:rPr>
          <w:sz w:val="24"/>
          <w:szCs w:val="24"/>
        </w:rPr>
        <w:t>Secretaria Municipal de Educação, podendo contar com parcerias institucionais com entidades públicas e privadas para a realização das atividades. A participação dos estudantes ocorrerá de forma gratuita, mediante autorização dos responsáveis legais e confo</w:t>
      </w:r>
      <w:r>
        <w:rPr>
          <w:sz w:val="24"/>
          <w:szCs w:val="24"/>
        </w:rPr>
        <w:t>rme cronograma definido pela coordenação do programa. O projeto também prevê regulamentação pelo Poder Executivo no prazo de 90 dias e estabelece que as despesas decorrentes de sua execução correrão por conta de dotações orçamentárias próprias.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Trata-se, portanto, de iniciativa voltada à formação cidadã de crianças e adolescentes, com enfoque pedagógico e preventivo, buscando desenvolver habilidades socioeducativas, </w:t>
      </w:r>
      <w:r>
        <w:rPr>
          <w:sz w:val="24"/>
          <w:szCs w:val="24"/>
        </w:rPr>
        <w:t>consciência coletiva e cultura de segurança, além de estimular a participação com</w:t>
      </w:r>
      <w:r>
        <w:rPr>
          <w:sz w:val="24"/>
          <w:szCs w:val="24"/>
        </w:rPr>
        <w:t>unitária e o senso de responsabilidade social.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124860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CONCLUSÕES DO RELATOR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Sob o aspecto da </w:t>
      </w:r>
      <w:r>
        <w:rPr>
          <w:b/>
          <w:bCs/>
          <w:sz w:val="24"/>
          <w:szCs w:val="24"/>
        </w:rPr>
        <w:t>constitucionalidade formal</w:t>
      </w:r>
      <w:r>
        <w:rPr>
          <w:sz w:val="24"/>
          <w:szCs w:val="24"/>
        </w:rPr>
        <w:t>, o projeto encontra fundamento na competência legislativa do Município para tratar de assuntos de interesse local e suplementar a legislação</w:t>
      </w:r>
      <w:r>
        <w:rPr>
          <w:sz w:val="24"/>
          <w:szCs w:val="24"/>
        </w:rPr>
        <w:t xml:space="preserve"> federal e estadual no que couber, conforme dispõe o art. 30, incisos I e II, da Constituição Federal. A iniciativa legislativa, ademais, é do </w:t>
      </w:r>
      <w:r>
        <w:rPr>
          <w:b/>
          <w:bCs/>
          <w:sz w:val="24"/>
          <w:szCs w:val="24"/>
        </w:rPr>
        <w:t>Chefe do Poder Executivo</w:t>
      </w:r>
      <w:r>
        <w:rPr>
          <w:sz w:val="24"/>
          <w:szCs w:val="24"/>
        </w:rPr>
        <w:t>, o que afasta qualquer questionamento relacionado a eventual vício de iniciativa, especi</w:t>
      </w:r>
      <w:r>
        <w:rPr>
          <w:sz w:val="24"/>
          <w:szCs w:val="24"/>
        </w:rPr>
        <w:t>almente porque a proposta envolve a organização de políticas públicas e a atuação integrada de órgãos da administração municipal.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plano da </w:t>
      </w:r>
      <w:r>
        <w:rPr>
          <w:b/>
          <w:bCs/>
          <w:sz w:val="24"/>
          <w:szCs w:val="24"/>
        </w:rPr>
        <w:t>constitucionalidade material</w:t>
      </w:r>
      <w:r>
        <w:rPr>
          <w:sz w:val="24"/>
          <w:szCs w:val="24"/>
        </w:rPr>
        <w:t>, a matéria mostra-se compatível com os princípios constitucionais que regem a proteçã</w:t>
      </w:r>
      <w:r>
        <w:rPr>
          <w:sz w:val="24"/>
          <w:szCs w:val="24"/>
        </w:rPr>
        <w:t>o integral à criança e ao adolescente. A Constituição Federal estabelece, em seu art. 227, que é dever da família, da sociedade e do Estado assegurar à criança e ao adolescente, com absoluta prioridade, o direito à educação, à dignidade, ao respeito e à co</w:t>
      </w:r>
      <w:r>
        <w:rPr>
          <w:sz w:val="24"/>
          <w:szCs w:val="24"/>
        </w:rPr>
        <w:t>nvivência comunitária, cabendo ao Poder Público promover políticas públicas que fortaleçam esses direitos.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Nesse contexto, o Programa Bombeiro Mirim possui natureza </w:t>
      </w:r>
      <w:r>
        <w:rPr>
          <w:b/>
          <w:bCs/>
          <w:sz w:val="24"/>
          <w:szCs w:val="24"/>
        </w:rPr>
        <w:t>educativa e preventiva</w:t>
      </w:r>
      <w:r>
        <w:rPr>
          <w:sz w:val="24"/>
          <w:szCs w:val="24"/>
        </w:rPr>
        <w:t>, não se confundindo com atividades típicas de segurança pública ou d</w:t>
      </w:r>
      <w:r>
        <w:rPr>
          <w:sz w:val="24"/>
          <w:szCs w:val="24"/>
        </w:rPr>
        <w:t>e exercício de poder de polícia. Ao contrário, sua estrutura está voltada à formação cidadã, à difusão de conhecimentos básicos de prevenção de acidentes e primeiros socorros e ao fortalecimento de valores sociais, inserindo-se no campo das políticas públi</w:t>
      </w:r>
      <w:r>
        <w:rPr>
          <w:sz w:val="24"/>
          <w:szCs w:val="24"/>
        </w:rPr>
        <w:t>cas educacionais e de promoção da cidadania.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jurisprudência do Supremo Tribunal Federal tem reconhecido a legitimidade de iniciativas legislativas voltadas à implementação de políticas públicas de caráter educativo e social no âmbito municipal, desde que</w:t>
      </w:r>
      <w:r>
        <w:rPr>
          <w:sz w:val="24"/>
          <w:szCs w:val="24"/>
        </w:rPr>
        <w:t xml:space="preserve"> respeitados os limites constitucionais da organização administrativa e da iniciativa legislativa. Nesse sentido, o STF fixou entendimento, no </w:t>
      </w:r>
      <w:r>
        <w:rPr>
          <w:b/>
          <w:bCs/>
          <w:sz w:val="24"/>
          <w:szCs w:val="24"/>
        </w:rPr>
        <w:t>Tema 917 da repercussão geral (ARE 878.911)</w:t>
      </w:r>
      <w:r>
        <w:rPr>
          <w:sz w:val="24"/>
          <w:szCs w:val="24"/>
        </w:rPr>
        <w:t xml:space="preserve">, de que a simples criação de despesa por lei não </w:t>
      </w:r>
      <w:r>
        <w:rPr>
          <w:sz w:val="24"/>
          <w:szCs w:val="24"/>
        </w:rPr>
        <w:t xml:space="preserve">implica, por si só, </w:t>
      </w:r>
      <w:r>
        <w:rPr>
          <w:sz w:val="24"/>
          <w:szCs w:val="24"/>
        </w:rPr>
        <w:t>vício de iniciativa, desde que a norma não interfira diretamente na estrutura administrativa ou no regime jurídico dos servidores públicos.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presente caso, observa-se que o projeto possui caráter programático e remete à regulamentação do Poder Executivo </w:t>
      </w:r>
      <w:r>
        <w:rPr>
          <w:sz w:val="24"/>
          <w:szCs w:val="24"/>
        </w:rPr>
        <w:t xml:space="preserve">os aspectos operacionais de sua implementação, inclusive quanto à organização das atividades e à compatibilização com as dotações orçamentárias existentes. Dessa forma, não se verifica afronta às normas constitucionais relacionadas à separação dos poderes </w:t>
      </w:r>
      <w:r>
        <w:rPr>
          <w:sz w:val="24"/>
          <w:szCs w:val="24"/>
        </w:rPr>
        <w:t>ou à gestão administrativa.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Outro ponto relevante refere-se à participação das </w:t>
      </w:r>
      <w:r>
        <w:rPr>
          <w:b/>
          <w:bCs/>
          <w:sz w:val="24"/>
          <w:szCs w:val="24"/>
        </w:rPr>
        <w:t>instituições de ensino privadas</w:t>
      </w:r>
      <w:r>
        <w:rPr>
          <w:sz w:val="24"/>
          <w:szCs w:val="24"/>
        </w:rPr>
        <w:t xml:space="preserve"> no programa. O texto do projeto indica que essa participação ocorrerá mediante </w:t>
      </w:r>
      <w:r>
        <w:rPr>
          <w:b/>
          <w:bCs/>
          <w:sz w:val="24"/>
          <w:szCs w:val="24"/>
        </w:rPr>
        <w:t>adesão</w:t>
      </w:r>
      <w:r>
        <w:rPr>
          <w:sz w:val="24"/>
          <w:szCs w:val="24"/>
        </w:rPr>
        <w:t>, formalizada por meio de instrumento próprio, o que preserv</w:t>
      </w:r>
      <w:r>
        <w:rPr>
          <w:sz w:val="24"/>
          <w:szCs w:val="24"/>
        </w:rPr>
        <w:t>a a liberdade de ensino assegurada pelo art. 209 da Constituição Federal. Tal modelo de cooperação institucional é compatível com a ordem constitucional e com a lógica de colaboração entre Poder Público e sociedade civil na implementação de políticas educa</w:t>
      </w:r>
      <w:r>
        <w:rPr>
          <w:sz w:val="24"/>
          <w:szCs w:val="24"/>
        </w:rPr>
        <w:t>cionais.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 à execução das atividades do programa, o projeto prevê a atuação de </w:t>
      </w:r>
      <w:r>
        <w:rPr>
          <w:b/>
          <w:bCs/>
          <w:sz w:val="24"/>
          <w:szCs w:val="24"/>
        </w:rPr>
        <w:t>servidores públicos de carreira</w:t>
      </w:r>
      <w:r>
        <w:rPr>
          <w:sz w:val="24"/>
          <w:szCs w:val="24"/>
        </w:rPr>
        <w:t>, de forma voluntária. Embora o dispositivo busque valorizar o engajamento institucional e o espírito de colaboração dos agentes públicos, re</w:t>
      </w:r>
      <w:r>
        <w:rPr>
          <w:sz w:val="24"/>
          <w:szCs w:val="24"/>
        </w:rPr>
        <w:t>comenda-se aperfeiçoamento redacional para explicitar que a participação ocorrerá mediante adesão voluntária formalizada, sem prejuízo das atribuições regulares do cargo e observadas as normas administrativas pertinentes. Tal medida reforça a segurança jur</w:t>
      </w:r>
      <w:r>
        <w:rPr>
          <w:sz w:val="24"/>
          <w:szCs w:val="24"/>
        </w:rPr>
        <w:t>ídica da norma e evita interpretações que possam sugerir eventual desvio de função ou incompatibilidade com o regime jurídico dos servidores.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fim, sob o aspecto </w:t>
      </w:r>
      <w:r>
        <w:rPr>
          <w:b/>
          <w:bCs/>
          <w:sz w:val="24"/>
          <w:szCs w:val="24"/>
        </w:rPr>
        <w:t>orçamentário</w:t>
      </w:r>
      <w:r>
        <w:rPr>
          <w:sz w:val="24"/>
          <w:szCs w:val="24"/>
        </w:rPr>
        <w:t xml:space="preserve">, o projeto estabelece que as despesas decorrentes da execução da lei correrão </w:t>
      </w:r>
      <w:r>
        <w:rPr>
          <w:sz w:val="24"/>
          <w:szCs w:val="24"/>
        </w:rPr>
        <w:t>por conta de dotações próprias do orçamento municipal, podendo ser suplementadas se necessário. Tal previsão atende à exigência de compatibilidade com o planejamento orçamentário e com as normas da Lei de Responsabilidade Fiscal, cabendo ao Poder Executivo</w:t>
      </w:r>
      <w:r>
        <w:rPr>
          <w:sz w:val="24"/>
          <w:szCs w:val="24"/>
        </w:rPr>
        <w:t>, na fase de regulamentação e implementação do programa, observar os limites e diretrizes estabelecidos no planejamento financeiro municipal.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124860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CONCLUSÃO FINAL 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Diante do exposto, considerando a relevância social da proposta, sua compatibilidade com os pr</w:t>
      </w:r>
      <w:r>
        <w:rPr>
          <w:sz w:val="24"/>
          <w:szCs w:val="24"/>
        </w:rPr>
        <w:t xml:space="preserve">incípios constitucionais de proteção integral à criança e ao adolescente e sua adequação às competências legislativas do Município, esta Comissão entende que o </w:t>
      </w:r>
      <w:r>
        <w:rPr>
          <w:b/>
          <w:bCs/>
          <w:sz w:val="24"/>
          <w:szCs w:val="24"/>
        </w:rPr>
        <w:t xml:space="preserve">Projeto de Lei nº 12/2026 é constitucional, juridicamente viável e compatível com o ordenamento </w:t>
      </w:r>
      <w:r>
        <w:rPr>
          <w:b/>
          <w:bCs/>
          <w:sz w:val="24"/>
          <w:szCs w:val="24"/>
        </w:rPr>
        <w:t>jurídico vigente</w:t>
      </w:r>
      <w:r>
        <w:rPr>
          <w:sz w:val="24"/>
          <w:szCs w:val="24"/>
        </w:rPr>
        <w:t xml:space="preserve">, razão pela qual </w:t>
      </w:r>
      <w:r>
        <w:rPr>
          <w:b/>
          <w:bCs/>
          <w:sz w:val="24"/>
          <w:szCs w:val="24"/>
        </w:rPr>
        <w:t>opina favoravelmente à sua aprovação</w:t>
      </w:r>
      <w:r>
        <w:rPr>
          <w:sz w:val="24"/>
          <w:szCs w:val="24"/>
        </w:rPr>
        <w:t>, sem prejuízo de eventuais ajustes redacionais destinados a aprimorar a segurança jurídica da norma, especialmente quanto à participação voluntária de servidores e à formalização da ade</w:t>
      </w:r>
      <w:r>
        <w:rPr>
          <w:sz w:val="24"/>
          <w:szCs w:val="24"/>
        </w:rPr>
        <w:t>são de instituições de ensino privadas.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124860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III - DECISÃO DA COMISSÃO</w:t>
      </w:r>
    </w:p>
    <w:p w:rsidR="00124860">
      <w:pPr>
        <w:spacing w:before="280" w:after="280" w:line="360" w:lineRule="auto"/>
        <w:jc w:val="both"/>
        <w:rPr>
          <w:sz w:val="24"/>
          <w:szCs w:val="24"/>
        </w:rPr>
      </w:pPr>
      <w:r>
        <w:tab/>
        <w:t xml:space="preserve"> </w:t>
      </w:r>
      <w:r>
        <w:rPr>
          <w:sz w:val="24"/>
          <w:szCs w:val="24"/>
        </w:rPr>
        <w:t>A Comissão de Justiça e Redação, acompanhando o voto do relator, delibera pela constitucionalidade, juridicidade e boa técnica legislativa do Projeto de Lei nº 12/2026 opinando por sua regular tramitação e aprovação.</w:t>
      </w:r>
    </w:p>
    <w:p w:rsidR="00124860">
      <w:pPr>
        <w:spacing w:before="280" w:after="280" w:line="360" w:lineRule="auto"/>
        <w:jc w:val="both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Assinam os membros da Comissão de Jus</w:t>
      </w:r>
      <w:r>
        <w:rPr>
          <w:b/>
          <w:bCs/>
          <w:color w:val="404040"/>
          <w:sz w:val="24"/>
          <w:szCs w:val="24"/>
        </w:rPr>
        <w:t>tiça e Redação que votaram a favor:</w:t>
      </w:r>
    </w:p>
    <w:p w:rsidR="001248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Vereador </w:t>
      </w:r>
      <w:r w:rsidR="005D201B">
        <w:rPr>
          <w:color w:val="404040"/>
          <w:sz w:val="24"/>
          <w:szCs w:val="24"/>
        </w:rPr>
        <w:t xml:space="preserve">João Victor </w:t>
      </w:r>
      <w:r w:rsidR="005D201B">
        <w:rPr>
          <w:color w:val="404040"/>
          <w:sz w:val="24"/>
          <w:szCs w:val="24"/>
        </w:rPr>
        <w:t>Gasparinin</w:t>
      </w:r>
      <w:r w:rsidR="005D201B">
        <w:rPr>
          <w:color w:val="404040"/>
          <w:sz w:val="24"/>
          <w:szCs w:val="24"/>
        </w:rPr>
        <w:t xml:space="preserve"> (Vice-Presidente)</w:t>
      </w:r>
    </w:p>
    <w:p w:rsidR="001248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Wagner Ricardo Pereira (Presidente)</w:t>
      </w:r>
    </w:p>
    <w:p w:rsidR="001248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rPr>
          <w:color w:val="404040"/>
          <w:sz w:val="24"/>
          <w:szCs w:val="24"/>
        </w:rPr>
        <w:t xml:space="preserve">Vereador </w:t>
      </w:r>
      <w:r>
        <w:rPr>
          <w:color w:val="404040"/>
          <w:sz w:val="24"/>
          <w:szCs w:val="24"/>
        </w:rPr>
        <w:t>Wilians</w:t>
      </w:r>
      <w:r>
        <w:rPr>
          <w:color w:val="404040"/>
          <w:sz w:val="24"/>
          <w:szCs w:val="24"/>
        </w:rPr>
        <w:t xml:space="preserve"> Mendes de Oliveira (Membro)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pict>
          <v:rect id="_x0000_i1030" style="width:0;height:1.5pt" o:hralign="center" o:hrstd="t" o:hr="t" fillcolor="#a0a0a0" stroked="f"/>
        </w:pic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04 de março de 2026.</w:t>
      </w:r>
    </w:p>
    <w:p w:rsidR="00124860">
      <w:pPr>
        <w:spacing w:before="240"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124860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VEREADOR </w:t>
      </w:r>
      <w:r w:rsidR="005D201B">
        <w:rPr>
          <w:b/>
          <w:bCs/>
          <w:sz w:val="24"/>
          <w:szCs w:val="24"/>
          <w:u w:val="single"/>
        </w:rPr>
        <w:t>JOÃO VICTOR GASPARINI</w:t>
      </w:r>
    </w:p>
    <w:p w:rsidR="0012486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124860">
      <w:pPr>
        <w:spacing w:line="360" w:lineRule="auto"/>
        <w:jc w:val="both"/>
        <w:rPr>
          <w:sz w:val="24"/>
          <w:szCs w:val="24"/>
        </w:rPr>
      </w:pPr>
    </w:p>
    <w:p w:rsidR="00124860">
      <w:pPr>
        <w:spacing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REFERÊNCIAS</w:t>
      </w:r>
    </w:p>
    <w:p w:rsidR="00124860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Constituição (1988). Constituição da República Federativa do Brasil. Brasília, DF: Senado Federal, 1988.</w:t>
      </w: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Lei Complementar nº 95, de 26 de fevereiro de 1998. Dispõe sobre a elaboração, a redação, a alteração e a consolidação das</w:t>
      </w:r>
      <w:r>
        <w:rPr>
          <w:sz w:val="24"/>
          <w:szCs w:val="24"/>
        </w:rPr>
        <w:t xml:space="preserve"> leis, conforme determina o parágrafo único do art. 59 da Constituição Federal, e estabelece normas para a consolidação dos atos normativos que menciona. Diário Oficial da União: seção 1, Brasília, DF, 27 fev. 1998.</w:t>
      </w: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r>
        <w:rPr>
          <w:b/>
          <w:bCs/>
          <w:sz w:val="24"/>
          <w:szCs w:val="24"/>
        </w:rPr>
        <w:t>Supremo Tribunal Federal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 xml:space="preserve">Tema </w:t>
      </w:r>
      <w:r>
        <w:rPr>
          <w:i/>
          <w:iCs/>
          <w:sz w:val="24"/>
          <w:szCs w:val="24"/>
        </w:rPr>
        <w:t>917 da Repercussão Geral – ARE 878.911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Tese: “Não usurpa a competência privativa do Chefe do Poder Executivo lei que, embora crie despesa para a Administração, não trata da sua estrutura ou da atribuição de seus órgãos, nem do regime jurídico de servidore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>públicos.”</w:t>
      </w:r>
      <w:r>
        <w:rPr>
          <w:sz w:val="24"/>
          <w:szCs w:val="24"/>
        </w:rPr>
        <w:br/>
        <w:t xml:space="preserve">Disponível em: </w:t>
      </w:r>
      <w:hyperlink r:id="rId5" w:history="1">
        <w:r>
          <w:rPr>
            <w:color w:val="0000FF"/>
            <w:sz w:val="24"/>
            <w:szCs w:val="24"/>
            <w:u w:val="single"/>
          </w:rPr>
          <w:t>https://redir.stf.jus.br/paginadorpub/paginador.jsp?docTP=TP&amp;docID=11828222</w:t>
        </w:r>
      </w:hyperlink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sz w:val="24"/>
          <w:szCs w:val="24"/>
        </w:rPr>
      </w:pPr>
    </w:p>
    <w:p w:rsidR="00124860">
      <w:pPr>
        <w:jc w:val="both"/>
        <w:rPr>
          <w:b/>
          <w:bCs/>
          <w:color w:val="404040"/>
          <w:sz w:val="24"/>
          <w:szCs w:val="24"/>
        </w:rPr>
      </w:pPr>
      <w:bookmarkStart w:id="0" w:name="_heading=h.jag821lb3ggf" w:colFirst="0" w:colLast="0"/>
      <w:bookmarkEnd w:id="0"/>
    </w:p>
    <w:p w:rsidR="00124860">
      <w:pPr>
        <w:jc w:val="both"/>
        <w:rPr>
          <w:b/>
          <w:bCs/>
          <w:color w:val="404040"/>
          <w:sz w:val="24"/>
          <w:szCs w:val="24"/>
        </w:rPr>
      </w:pPr>
    </w:p>
    <w:p w:rsidR="00124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1" w:name="_heading=h.qf8eea3opqsm" w:colFirst="0" w:colLast="0"/>
      <w:bookmarkEnd w:id="1"/>
      <w:r>
        <w:rPr>
          <w:b/>
          <w:bCs/>
          <w:color w:val="000000"/>
          <w:sz w:val="24"/>
          <w:szCs w:val="24"/>
        </w:rPr>
        <w:t xml:space="preserve">PARECER DA COMISSÃO DE JUSTIÇA E REDAÇÃO AO PROJETO DE LEI Nº </w:t>
      </w:r>
      <w:r>
        <w:rPr>
          <w:b/>
          <w:bCs/>
          <w:sz w:val="24"/>
          <w:szCs w:val="24"/>
        </w:rPr>
        <w:t>12/2026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A Comissão de Justiça e Redação, no uso de suas atribuições regimentais, nos termos do art. 35 da Resolução nº 276, de 9 de novembro de 2010 (Regimento Interno da Câmara Municipal de Mo</w:t>
      </w:r>
      <w:r>
        <w:rPr>
          <w:sz w:val="24"/>
          <w:szCs w:val="24"/>
        </w:rPr>
        <w:t xml:space="preserve">gi Mirim), após análise do </w:t>
      </w:r>
      <w:r>
        <w:rPr>
          <w:b/>
          <w:bCs/>
          <w:sz w:val="24"/>
          <w:szCs w:val="24"/>
        </w:rPr>
        <w:t>Projeto de Lei nº 12</w:t>
      </w:r>
      <w:bookmarkStart w:id="2" w:name="_GoBack"/>
      <w:bookmarkEnd w:id="2"/>
      <w:r>
        <w:rPr>
          <w:b/>
          <w:bCs/>
          <w:sz w:val="24"/>
          <w:szCs w:val="24"/>
        </w:rPr>
        <w:t xml:space="preserve"> de 2026</w:t>
      </w:r>
      <w:r>
        <w:rPr>
          <w:sz w:val="24"/>
          <w:szCs w:val="24"/>
        </w:rPr>
        <w:t xml:space="preserve">, de autoria do Prefeito Municipal, opina </w:t>
      </w:r>
      <w:r>
        <w:rPr>
          <w:b/>
          <w:bCs/>
          <w:sz w:val="24"/>
          <w:szCs w:val="24"/>
        </w:rPr>
        <w:t>favoravelmente à sua aprovação</w:t>
      </w:r>
      <w:r>
        <w:rPr>
          <w:sz w:val="24"/>
          <w:szCs w:val="24"/>
        </w:rPr>
        <w:t>, considerando que a matéria se encontra em conformidade com as normas constitucionais, legais e regimentais aplicáveis.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>
        <w:rPr>
          <w:b/>
          <w:bCs/>
          <w:sz w:val="24"/>
          <w:szCs w:val="24"/>
        </w:rPr>
        <w:t>Proje</w:t>
      </w:r>
      <w:r>
        <w:rPr>
          <w:b/>
          <w:bCs/>
          <w:sz w:val="24"/>
          <w:szCs w:val="24"/>
        </w:rPr>
        <w:t>to de Lei nº 12/2026</w:t>
      </w:r>
      <w:r>
        <w:rPr>
          <w:sz w:val="24"/>
          <w:szCs w:val="24"/>
        </w:rPr>
        <w:t xml:space="preserve"> institui, no âmbito do Município de Mogi Mirim, o </w:t>
      </w:r>
      <w:r>
        <w:rPr>
          <w:b/>
          <w:bCs/>
          <w:sz w:val="24"/>
          <w:szCs w:val="24"/>
        </w:rPr>
        <w:t>Programa Bombeiro Mirim Municipal – Programa Inclusivo</w:t>
      </w:r>
      <w:r>
        <w:rPr>
          <w:sz w:val="24"/>
          <w:szCs w:val="24"/>
        </w:rPr>
        <w:t>, destinado à formação cidadã de crianças e adolescentes com idade entre 7 e 17 anos, matriculados em escolas públicas e particular</w:t>
      </w:r>
      <w:r>
        <w:rPr>
          <w:sz w:val="24"/>
          <w:szCs w:val="24"/>
        </w:rPr>
        <w:t xml:space="preserve">es do município. A iniciativa estabelece a realização de atividades educativas, preventivas e </w:t>
      </w:r>
      <w:r>
        <w:rPr>
          <w:sz w:val="24"/>
          <w:szCs w:val="24"/>
        </w:rPr>
        <w:t>socioformativas</w:t>
      </w:r>
      <w:r>
        <w:rPr>
          <w:sz w:val="24"/>
          <w:szCs w:val="24"/>
        </w:rPr>
        <w:t xml:space="preserve">, voltadas à promoção de valores cívicos, educação ambiental, noções de primeiros socorros, prevenção de acidentes e fortalecimento da convivência </w:t>
      </w:r>
      <w:r>
        <w:rPr>
          <w:sz w:val="24"/>
          <w:szCs w:val="24"/>
        </w:rPr>
        <w:t>comunitária, sob coordenação da Secretaria Municipal de Segurança Pública e Defesa Civil, por meio do Bombeiro Civil Municipal, em articulação com a Secretaria Municipal de Educação e com possibilidade de parcerias institucionais.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Sob o aspecto jurídico-co</w:t>
      </w:r>
      <w:r>
        <w:rPr>
          <w:sz w:val="24"/>
          <w:szCs w:val="24"/>
        </w:rPr>
        <w:t xml:space="preserve">nstitucional, a matéria insere-se no âmbito do </w:t>
      </w:r>
      <w:r>
        <w:rPr>
          <w:b/>
          <w:bCs/>
          <w:sz w:val="24"/>
          <w:szCs w:val="24"/>
        </w:rPr>
        <w:t>interesse local</w:t>
      </w:r>
      <w:r>
        <w:rPr>
          <w:sz w:val="24"/>
          <w:szCs w:val="24"/>
        </w:rPr>
        <w:t xml:space="preserve">, nos termos do art. 30, inciso I, da Constituição Federal, bem como se harmoniza com o princípio da </w:t>
      </w:r>
      <w:r>
        <w:rPr>
          <w:b/>
          <w:bCs/>
          <w:sz w:val="24"/>
          <w:szCs w:val="24"/>
        </w:rPr>
        <w:t>proteção integral à criança e ao adolescente</w:t>
      </w:r>
      <w:r>
        <w:rPr>
          <w:sz w:val="24"/>
          <w:szCs w:val="24"/>
        </w:rPr>
        <w:t>, previsto no art. 227 da Constituição Federal, q</w:t>
      </w:r>
      <w:r>
        <w:rPr>
          <w:sz w:val="24"/>
          <w:szCs w:val="24"/>
        </w:rPr>
        <w:t>ue impõe ao Estado, à família e à sociedade o dever de assegurar condições adequadas ao desenvolvimento educacional, social e comunitário da juventude. Nesse contexto, o programa possui natureza educativa e preventiva, configurando política pública voltada</w:t>
      </w:r>
      <w:r>
        <w:rPr>
          <w:sz w:val="24"/>
          <w:szCs w:val="24"/>
        </w:rPr>
        <w:t xml:space="preserve"> à promoção da cidadania e da cultura de segurança, sem interferir em atribuições típicas das forças de segurança pública.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se verifica vício de iniciativa, uma vez que a proposição é de autoria do </w:t>
      </w:r>
      <w:r>
        <w:rPr>
          <w:b/>
          <w:bCs/>
          <w:sz w:val="24"/>
          <w:szCs w:val="24"/>
        </w:rPr>
        <w:t>Chefe do Poder Executivo</w:t>
      </w:r>
      <w:r>
        <w:rPr>
          <w:sz w:val="24"/>
          <w:szCs w:val="24"/>
        </w:rPr>
        <w:t xml:space="preserve">, tratando da implementação de </w:t>
      </w:r>
      <w:r>
        <w:rPr>
          <w:sz w:val="24"/>
          <w:szCs w:val="24"/>
        </w:rPr>
        <w:t>política pública e da articulação administrativa entre órgãos municipais, o que se insere na esfera de competência da administração municipal. O projeto também preserva a autonomia das instituições de ensino privadas, ao prever a participação mediante ades</w:t>
      </w:r>
      <w:r>
        <w:rPr>
          <w:sz w:val="24"/>
          <w:szCs w:val="24"/>
        </w:rPr>
        <w:t>ão, respeitando a liberdade de ensino assegurada pelo art. 209 da Constituição Federal.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proposição tampouco cria despesa pública obrigatória de forma imediata, limitando-se a instituir diretrizes programáticas cuja execução observará as dotações orçament</w:t>
      </w:r>
      <w:r>
        <w:rPr>
          <w:sz w:val="24"/>
          <w:szCs w:val="24"/>
        </w:rPr>
        <w:t xml:space="preserve">árias próprias do município, podendo ser regulamentada posteriormente pelo Poder Executivo. Nesse sentido, não se identifica incompatibilidade com as disposições da Lei de Responsabilidade Fiscal, cabendo à Administração Pública adequar a implementação do </w:t>
      </w:r>
      <w:r>
        <w:rPr>
          <w:sz w:val="24"/>
          <w:szCs w:val="24"/>
        </w:rPr>
        <w:t>programa às previsões do planejamento orçamentário.</w:t>
      </w:r>
    </w:p>
    <w:p w:rsidR="0012486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do exposto, a Comissão de Justiça e Redação conclui pela </w:t>
      </w:r>
      <w:r>
        <w:rPr>
          <w:b/>
          <w:bCs/>
          <w:sz w:val="24"/>
          <w:szCs w:val="24"/>
        </w:rPr>
        <w:t>constitucionalidade, juridicidade e adequação à técnica legislativa do Projeto de Lei nº 12/2026</w:t>
      </w:r>
      <w:r>
        <w:rPr>
          <w:sz w:val="24"/>
          <w:szCs w:val="24"/>
        </w:rPr>
        <w:t>, opinando favoravelmente à sua tramitação e</w:t>
      </w:r>
      <w:r>
        <w:rPr>
          <w:sz w:val="24"/>
          <w:szCs w:val="24"/>
        </w:rPr>
        <w:t xml:space="preserve"> aprovação, por se tratar de iniciativa legítima do Poder Executivo, compatível com o interesse público local e alinhada às políticas de promoção da cidadania, prevenção e formação socioeducativa da juventude no Município de Mogi Mirim.</w:t>
      </w:r>
    </w:p>
    <w:p w:rsidR="005D201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COMISSÃO DE JUSTIÇA E REDAÇÃO</w:t>
      </w:r>
    </w:p>
    <w:p w:rsidR="0012486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color w:val="404040"/>
          <w:sz w:val="24"/>
          <w:szCs w:val="24"/>
          <w:u w:val="single"/>
        </w:rPr>
      </w:pPr>
    </w:p>
    <w:p w:rsidR="00124860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WAGNER RICARDO PEREIRA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Presidente</w:t>
      </w:r>
    </w:p>
    <w:p w:rsidR="00124860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</w:t>
      </w:r>
      <w:r w:rsidR="005D201B">
        <w:rPr>
          <w:b/>
          <w:bCs/>
          <w:sz w:val="24"/>
          <w:szCs w:val="24"/>
        </w:rPr>
        <w:t xml:space="preserve"> JOÃO VICTOR GASPARINI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Vice-Presidente</w:t>
      </w:r>
    </w:p>
    <w:p w:rsidR="00124860">
      <w:pPr>
        <w:spacing w:before="240"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WILIANS MENDES DE OLIVEIRA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Membro</w:t>
      </w:r>
    </w:p>
    <w:sectPr>
      <w:headerReference w:type="even" r:id="rId6"/>
      <w:headerReference w:type="default" r:id="rId7"/>
      <w:footerReference w:type="default" r:id="rId8"/>
      <w:pgSz w:w="11907" w:h="16840"/>
      <w:pgMar w:top="2127" w:right="1134" w:bottom="156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3B67B985-5165-4CDD-B6F3-0A81D9D6BA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  <w:embedRegular r:id="rId2" w:fontKey="{52E6E744-84C5-4110-A857-C32BFEF289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  <w:embedRegular r:id="rId3" w:fontKey="{9C4C97B4-D0C2-4AE1-83A7-F3B0439F278A}"/>
  </w:font>
  <w:font w:name="Georgia">
    <w:panose1 w:val="02040502050405020303"/>
    <w:charset w:val="00"/>
    <w:family w:val="auto"/>
    <w:pitch w:val="default"/>
    <w:embedRegular r:id="rId4" w:fontKey="{2EB39B68-7731-4581-8B8E-86AEC8B987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073FA81-B22C-4154-A9ED-14E04356C3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E98BBCC-63E7-42DA-BF11-77CB87CF24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48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  <w:sz w:val="18"/>
        <w:szCs w:val="18"/>
      </w:rPr>
    </w:pPr>
  </w:p>
  <w:p w:rsidR="001248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1248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48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1248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48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-923917</wp:posOffset>
          </wp:positionH>
          <wp:positionV relativeFrom="paragraph">
            <wp:posOffset>-247643</wp:posOffset>
          </wp:positionV>
          <wp:extent cx="1341380" cy="942975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3049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2486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b/>
        <w:bCs/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CÂMARA MUNICIPAL DE MOGI MIRIM</w:t>
    </w:r>
  </w:p>
  <w:p w:rsidR="001248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416669"/>
    <w:multiLevelType w:val="multilevel"/>
    <w:tmpl w:val="07D83ADC"/>
    <w:lvl w:ilvl="0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526267B"/>
    <w:multiLevelType w:val="multilevel"/>
    <w:tmpl w:val="00785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60"/>
    <w:rsid w:val="00124860"/>
    <w:rsid w:val="005D0DEF"/>
    <w:rsid w:val="005D20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0739C42-0272-4290-8EF6-D8A9D473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relative">
    <w:name w:val="relative"/>
    <w:basedOn w:val="DefaultParagraphFont"/>
    <w:rsid w:val="007029F5"/>
  </w:style>
  <w:style w:type="paragraph" w:customStyle="1" w:styleId="not-prose">
    <w:name w:val="not-prose"/>
    <w:basedOn w:val="Normal"/>
    <w:rsid w:val="007029F5"/>
    <w:pPr>
      <w:spacing w:before="100" w:beforeAutospacing="1" w:after="100" w:afterAutospacing="1"/>
    </w:pPr>
    <w:rPr>
      <w:sz w:val="24"/>
      <w:szCs w:val="24"/>
    </w:rPr>
  </w:style>
  <w:style w:type="paragraph" w:customStyle="1" w:styleId="whitespace-normal">
    <w:name w:val="whitespace-normal"/>
    <w:basedOn w:val="Normal"/>
    <w:rsid w:val="00DF3417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edir.stf.jus.br/paginadorpub/paginador.jsp?docTP=TP&amp;docID=11828222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Lr45cv+MQWAvJz+Il8h52rq9GA==">CgMxLjAyDmguamFnODIxbGIzZ2dmMg5oLnFmOGVlYTNvcHFzbTgAciExTndEaW5TeTh6ZTB1Q29ZYkJxQ09zMnQ1RW9iX1lEaUU=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1845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</cp:revision>
  <dcterms:created xsi:type="dcterms:W3CDTF">2026-01-21T12:04:00Z</dcterms:created>
  <dcterms:modified xsi:type="dcterms:W3CDTF">2026-03-05T12:43:00Z</dcterms:modified>
</cp:coreProperties>
</file>