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01D" w14:paraId="13160010" w14:textId="77777777">
      <w:pPr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28BCB6DA" w14:textId="34113473">
      <w:pPr>
        <w:rPr>
          <w:rFonts w:ascii="Aptos" w:hAnsi="Aptos" w:cstheme="minorHAnsi"/>
          <w:b/>
          <w:sz w:val="22"/>
          <w:szCs w:val="22"/>
          <w:u w:val="single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6B401D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0C50EBD8" w14:textId="7AAC818A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6B401D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452665">
        <w:rPr>
          <w:rFonts w:ascii="Aptos" w:hAnsi="Aptos" w:cstheme="minorHAnsi"/>
          <w:b/>
          <w:sz w:val="22"/>
          <w:szCs w:val="22"/>
          <w:u w:val="single"/>
        </w:rPr>
        <w:t>2</w:t>
      </w:r>
      <w:r w:rsidRPr="006B401D" w:rsidR="00AC3555">
        <w:rPr>
          <w:rFonts w:ascii="Aptos" w:hAnsi="Aptos" w:cstheme="minorHAnsi"/>
          <w:b/>
          <w:sz w:val="22"/>
          <w:szCs w:val="22"/>
          <w:u w:val="single"/>
        </w:rPr>
        <w:t>53</w:t>
      </w:r>
      <w:r w:rsidRPr="006B401D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DE 2025</w:t>
      </w:r>
    </w:p>
    <w:p w:rsidR="00F77D8F" w:rsidRPr="006B401D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2BEDA804" w14:textId="51F6FDFB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 w:rsidR="008649A4">
        <w:rPr>
          <w:rFonts w:ascii="Aptos" w:hAnsi="Aptos" w:cstheme="minorHAnsi"/>
          <w:sz w:val="22"/>
          <w:szCs w:val="22"/>
        </w:rPr>
        <w:t>Conforme determina o</w:t>
      </w:r>
      <w:r w:rsidRPr="006B401D" w:rsidR="00CF72AA">
        <w:rPr>
          <w:rFonts w:ascii="Aptos" w:hAnsi="Aptos" w:cstheme="minorHAnsi"/>
          <w:sz w:val="22"/>
          <w:szCs w:val="22"/>
        </w:rPr>
        <w:t>s</w:t>
      </w:r>
      <w:r w:rsidRPr="006B401D" w:rsidR="008649A4">
        <w:rPr>
          <w:rFonts w:ascii="Aptos" w:hAnsi="Aptos" w:cstheme="minorHAnsi"/>
          <w:sz w:val="22"/>
          <w:szCs w:val="22"/>
        </w:rPr>
        <w:t xml:space="preserve"> artigo</w:t>
      </w:r>
      <w:r w:rsidRPr="006B401D" w:rsidR="00CF72AA">
        <w:rPr>
          <w:rFonts w:ascii="Aptos" w:hAnsi="Aptos" w:cstheme="minorHAnsi"/>
          <w:sz w:val="22"/>
          <w:szCs w:val="22"/>
        </w:rPr>
        <w:t>s 37 e</w:t>
      </w:r>
      <w:r w:rsidRPr="006B401D" w:rsidR="008649A4">
        <w:rPr>
          <w:rFonts w:ascii="Aptos" w:hAnsi="Aptos" w:cstheme="minorHAnsi"/>
          <w:sz w:val="22"/>
          <w:szCs w:val="22"/>
        </w:rPr>
        <w:t xml:space="preserve"> 39 do Regimento Interno Vigente a</w:t>
      </w:r>
      <w:r w:rsidRPr="006B401D" w:rsidR="00CF72AA">
        <w:rPr>
          <w:rFonts w:ascii="Aptos" w:hAnsi="Aptos" w:cstheme="minorHAnsi"/>
          <w:sz w:val="22"/>
          <w:szCs w:val="22"/>
        </w:rPr>
        <w:t>s</w:t>
      </w:r>
      <w:r w:rsidRPr="006B401D" w:rsidR="008649A4">
        <w:rPr>
          <w:rFonts w:ascii="Aptos" w:hAnsi="Aptos" w:cstheme="minorHAnsi"/>
          <w:sz w:val="22"/>
          <w:szCs w:val="22"/>
        </w:rPr>
        <w:t xml:space="preserve"> 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Pr="006B401D" w:rsidR="00D95A10">
        <w:rPr>
          <w:rFonts w:ascii="Aptos" w:hAnsi="Aptos" w:cstheme="minorHAnsi"/>
          <w:b/>
          <w:bCs/>
          <w:sz w:val="22"/>
          <w:szCs w:val="22"/>
        </w:rPr>
        <w:t>ÕES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6B401D" w:rsidR="00CF72AA">
        <w:rPr>
          <w:rFonts w:ascii="Aptos" w:hAnsi="Aptos" w:cstheme="minorHAnsi"/>
          <w:b/>
          <w:bCs/>
          <w:sz w:val="22"/>
          <w:szCs w:val="22"/>
        </w:rPr>
        <w:t xml:space="preserve">E DE FINANÇAS E ORÇAMENTO,  </w:t>
      </w:r>
      <w:r w:rsidRPr="006B401D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6B401D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6B401D" w:rsidR="003C0C62">
        <w:rPr>
          <w:rFonts w:ascii="Aptos" w:hAnsi="Aptos" w:cstheme="minorHAnsi"/>
          <w:sz w:val="22"/>
          <w:szCs w:val="22"/>
        </w:rPr>
        <w:t xml:space="preserve"> Lei </w:t>
      </w:r>
      <w:r w:rsidRPr="006B401D" w:rsidR="000C06AE">
        <w:rPr>
          <w:rFonts w:ascii="Aptos" w:hAnsi="Aptos" w:cstheme="minorHAnsi"/>
          <w:sz w:val="22"/>
          <w:szCs w:val="22"/>
        </w:rPr>
        <w:t xml:space="preserve">  </w:t>
      </w:r>
      <w:r w:rsidRPr="006B401D" w:rsidR="003C0C62">
        <w:rPr>
          <w:rFonts w:ascii="Aptos" w:hAnsi="Aptos" w:cstheme="minorHAnsi"/>
          <w:sz w:val="22"/>
          <w:szCs w:val="22"/>
        </w:rPr>
        <w:t xml:space="preserve">nº </w:t>
      </w:r>
      <w:r w:rsidRPr="006B401D" w:rsidR="00452665">
        <w:rPr>
          <w:rFonts w:ascii="Aptos" w:hAnsi="Aptos" w:cstheme="minorHAnsi"/>
          <w:sz w:val="22"/>
          <w:szCs w:val="22"/>
        </w:rPr>
        <w:t>1</w:t>
      </w:r>
      <w:r w:rsidRPr="006B401D" w:rsidR="00AC3555">
        <w:rPr>
          <w:rFonts w:ascii="Aptos" w:hAnsi="Aptos" w:cstheme="minorHAnsi"/>
          <w:sz w:val="22"/>
          <w:szCs w:val="22"/>
        </w:rPr>
        <w:t>80</w:t>
      </w:r>
      <w:r w:rsidRPr="006B401D" w:rsidR="00E653FB">
        <w:rPr>
          <w:rFonts w:ascii="Aptos" w:hAnsi="Aptos" w:cstheme="minorHAnsi"/>
          <w:sz w:val="22"/>
          <w:szCs w:val="22"/>
        </w:rPr>
        <w:t xml:space="preserve"> </w:t>
      </w:r>
      <w:r w:rsidRPr="006B401D" w:rsidR="003C0C62">
        <w:rPr>
          <w:rFonts w:ascii="Aptos" w:hAnsi="Aptos" w:cstheme="minorHAnsi"/>
          <w:sz w:val="22"/>
          <w:szCs w:val="22"/>
        </w:rPr>
        <w:t xml:space="preserve"> de 2025</w:t>
      </w:r>
      <w:r w:rsidRPr="006B401D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de autoria d</w:t>
      </w:r>
      <w:r w:rsidRPr="006B401D" w:rsidR="00452665">
        <w:rPr>
          <w:rFonts w:ascii="Aptos" w:hAnsi="Aptos" w:cstheme="minorHAnsi"/>
          <w:sz w:val="22"/>
          <w:szCs w:val="22"/>
        </w:rPr>
        <w:t xml:space="preserve">o  </w:t>
      </w:r>
      <w:r w:rsidRPr="006B401D" w:rsidR="00AC3555">
        <w:rPr>
          <w:rFonts w:ascii="Aptos" w:hAnsi="Aptos" w:cstheme="minorHAnsi"/>
          <w:sz w:val="22"/>
          <w:szCs w:val="22"/>
        </w:rPr>
        <w:t xml:space="preserve"> Vereador Manoel Eduardo Pereira da Cruz Palomino</w:t>
      </w:r>
      <w:r w:rsidRPr="006B401D" w:rsidR="000C06AE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6B401D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</w:p>
    <w:p w:rsidR="00F77D8F" w:rsidRPr="006B401D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EB3B08" w:rsidRPr="006B401D" w:rsidP="006B401D" w14:paraId="54758E4D" w14:textId="456C12C1">
      <w:pPr>
        <w:pStyle w:val="BodyText"/>
        <w:spacing w:before="120" w:after="0" w:line="240" w:lineRule="auto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B401D">
        <w:rPr>
          <w:rFonts w:ascii="Aptos" w:hAnsi="Aptos" w:cstheme="minorHAnsi"/>
          <w:color w:val="000000"/>
          <w:sz w:val="22"/>
          <w:szCs w:val="22"/>
        </w:rPr>
        <w:t>Em tramitação nesta</w:t>
      </w:r>
      <w:r w:rsidRPr="006B401D" w:rsidR="008649A4">
        <w:rPr>
          <w:rFonts w:ascii="Aptos" w:hAnsi="Aptos" w:cstheme="minorHAnsi"/>
          <w:color w:val="000000"/>
          <w:sz w:val="22"/>
          <w:szCs w:val="22"/>
        </w:rPr>
        <w:t xml:space="preserve"> Casa de Leis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 xml:space="preserve">, encontra-se o </w:t>
      </w:r>
      <w:r w:rsidRPr="006B401D" w:rsidR="004F6522">
        <w:rPr>
          <w:rFonts w:ascii="Aptos" w:hAnsi="Aptos" w:cstheme="minorHAnsi"/>
          <w:color w:val="000000"/>
          <w:sz w:val="22"/>
          <w:szCs w:val="22"/>
        </w:rPr>
        <w:t>P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>rojeto</w:t>
      </w:r>
      <w:r w:rsidRPr="006B401D" w:rsidR="00452665">
        <w:rPr>
          <w:rFonts w:ascii="Aptos" w:hAnsi="Aptos" w:cstheme="minorHAnsi"/>
          <w:color w:val="000000"/>
          <w:sz w:val="22"/>
          <w:szCs w:val="22"/>
        </w:rPr>
        <w:t xml:space="preserve"> de Lei nº  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>1</w:t>
      </w:r>
      <w:r w:rsidRPr="006B401D" w:rsidR="00AC3555">
        <w:rPr>
          <w:rFonts w:ascii="Aptos" w:hAnsi="Aptos" w:cstheme="minorHAnsi"/>
          <w:color w:val="000000"/>
          <w:sz w:val="22"/>
          <w:szCs w:val="22"/>
        </w:rPr>
        <w:t>80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 xml:space="preserve"> de 2025 que  </w:t>
      </w:r>
      <w:r w:rsidRPr="006B401D" w:rsidR="00AC3555">
        <w:rPr>
          <w:rFonts w:ascii="Aptos" w:hAnsi="Aptos" w:cstheme="minorHAnsi"/>
          <w:color w:val="000000"/>
          <w:sz w:val="22"/>
          <w:szCs w:val="22"/>
        </w:rPr>
        <w:t>“IN</w:t>
      </w:r>
      <w:r w:rsidRPr="006B401D" w:rsidR="00AC3555">
        <w:rPr>
          <w:rFonts w:ascii="Aptos" w:hAnsi="Aptos" w:cstheme="minorHAnsi"/>
          <w:color w:val="000000"/>
          <w:sz w:val="22"/>
          <w:szCs w:val="22"/>
        </w:rPr>
        <w:t>STITUI A POLÍTICA MUNICIPAL DE VALORIZAÇÃO DAS AÇÕES PREVENTIVAS NO AMBIENTE ESCOLAR E RECONHECE PROGRAMAS ESTADUAIS DE PREVENÇÃO, COMO O PROERD, COMO DE RELEVANTE INTERESSE PÚBLICO LOCAL”.</w:t>
      </w:r>
    </w:p>
    <w:p w:rsidR="00AC3555" w:rsidRPr="00AC3555" w:rsidP="006B401D" w14:paraId="44082A77" w14:textId="74FF0431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AC3555">
        <w:rPr>
          <w:rFonts w:ascii="Aptos" w:hAnsi="Aptos" w:cstheme="minorHAnsi"/>
          <w:color w:val="000000"/>
          <w:sz w:val="22"/>
          <w:szCs w:val="22"/>
        </w:rPr>
        <w:t xml:space="preserve">O Projeto de Lei em análise tem por objetivo instituir, no âmbito do Município, a </w:t>
      </w:r>
      <w:r w:rsidRPr="00AC3555">
        <w:rPr>
          <w:rFonts w:ascii="Aptos" w:hAnsi="Aptos" w:cstheme="minorHAnsi"/>
          <w:b/>
          <w:bCs/>
          <w:color w:val="000000"/>
          <w:sz w:val="22"/>
          <w:szCs w:val="22"/>
        </w:rPr>
        <w:t>Política Municipal de Valorização das Ações Preventivas no Ambiente Escolar</w:t>
      </w:r>
      <w:r w:rsidRPr="00AC3555">
        <w:rPr>
          <w:rFonts w:ascii="Aptos" w:hAnsi="Aptos" w:cstheme="minorHAnsi"/>
          <w:color w:val="000000"/>
          <w:sz w:val="22"/>
          <w:szCs w:val="22"/>
        </w:rPr>
        <w:t>, com foco na promoção da cultura de paz, prevenção ao uso de drogas, enfrentamento à violência, fortalecimento de vínculos familiares e comunitários, bem como na promoção da cidadania entre crianças e adolescentes da rede pública  de ensino.</w:t>
      </w:r>
    </w:p>
    <w:p w:rsidR="00AC3555" w:rsidRPr="00AC3555" w:rsidP="006B401D" w14:paraId="0851E7EF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AC3555">
        <w:rPr>
          <w:rFonts w:ascii="Aptos" w:hAnsi="Aptos" w:cstheme="minorHAnsi"/>
          <w:color w:val="000000"/>
          <w:sz w:val="22"/>
          <w:szCs w:val="22"/>
        </w:rPr>
        <w:t xml:space="preserve">A proposição também reconhece programas estaduais de prevenção, a exemplo do </w:t>
      </w:r>
      <w:r w:rsidRPr="00AC3555">
        <w:rPr>
          <w:rFonts w:ascii="Aptos" w:hAnsi="Aptos" w:cstheme="minorHAnsi"/>
          <w:b/>
          <w:bCs/>
          <w:color w:val="000000"/>
          <w:sz w:val="22"/>
          <w:szCs w:val="22"/>
        </w:rPr>
        <w:t>Programa Educacional de Resistência às Drogas e à Violência (PROERD)</w:t>
      </w:r>
      <w:r w:rsidRPr="00AC3555">
        <w:rPr>
          <w:rFonts w:ascii="Aptos" w:hAnsi="Aptos" w:cstheme="minorHAnsi"/>
          <w:color w:val="000000"/>
          <w:sz w:val="22"/>
          <w:szCs w:val="22"/>
        </w:rPr>
        <w:t>, como de relevante interesse público local, possibilitando sua articulação institucional no município.</w:t>
      </w:r>
    </w:p>
    <w:p w:rsidR="00AC3555" w:rsidRPr="006B401D" w:rsidP="006B401D" w14:paraId="2ED9AA17" w14:textId="197D5A26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AC3555">
        <w:rPr>
          <w:rFonts w:ascii="Aptos" w:hAnsi="Aptos" w:cstheme="minorHAnsi"/>
          <w:color w:val="000000"/>
          <w:sz w:val="22"/>
          <w:szCs w:val="22"/>
        </w:rPr>
        <w:t>Segundo a justificativa apresentada, o projeto visa fortalecer ações já desenvolvidas nas escolas, integrando esforços do Poder Executivo, das instituições de ensino, das forças de segurança e da comunidade, sem criar estrutura administrativa nova, priorizando a cooperação e a articulação intersetorial.</w:t>
      </w:r>
    </w:p>
    <w:p w:rsidR="00D95A10" w:rsidRPr="006B401D" w:rsidP="006B401D" w14:paraId="0E26A424" w14:textId="58B16E6D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AC3555" w:rsidRPr="00AC3555" w:rsidP="006B401D" w14:paraId="4F824288" w14:textId="30F0C6D8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A</w:t>
      </w:r>
      <w:r w:rsidRPr="006B401D" w:rsidR="006B401D">
        <w:rPr>
          <w:rFonts w:ascii="Aptos" w:eastAsia="Arial" w:hAnsi="Aptos" w:cstheme="minorHAnsi"/>
          <w:bCs/>
          <w:color w:val="000000"/>
          <w:sz w:val="22"/>
          <w:szCs w:val="22"/>
        </w:rPr>
        <w:t>s</w:t>
      </w: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 Comiss</w:t>
      </w:r>
      <w:r w:rsidRPr="006B401D" w:rsidR="006B401D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ões </w:t>
      </w: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 entende</w:t>
      </w:r>
      <w:r w:rsidRPr="006B401D" w:rsidR="006B401D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m </w:t>
      </w: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 que a proposta encontra respaldo no princípio constitucional da proteção integral à criança e ao adolescente, bem como nas diretrizes da educação voltadas à formação plena do cidadão.</w:t>
      </w:r>
    </w:p>
    <w:p w:rsidR="00AC3555" w:rsidRPr="00AC3555" w:rsidP="006B401D" w14:paraId="533F317F" w14:textId="77777777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A prevenção no ambiente escolar constitui instrumento essencial para:</w:t>
      </w:r>
    </w:p>
    <w:p w:rsidR="00AC3555" w:rsidRPr="00AC3555" w:rsidP="006B401D" w14:paraId="3A5ACA07" w14:textId="77777777">
      <w:pPr>
        <w:pStyle w:val="BodyText"/>
        <w:numPr>
          <w:ilvl w:val="0"/>
          <w:numId w:val="10"/>
        </w:numPr>
        <w:shd w:val="clear" w:color="auto" w:fill="FFFFFF"/>
        <w:spacing w:before="120" w:after="0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Redução de fatores de risco relacionados ao uso de substâncias psicoativas;</w:t>
      </w:r>
    </w:p>
    <w:p w:rsidR="00AC3555" w:rsidRPr="00AC3555" w:rsidP="006B401D" w14:paraId="48052FCE" w14:textId="77777777">
      <w:pPr>
        <w:pStyle w:val="BodyText"/>
        <w:numPr>
          <w:ilvl w:val="0"/>
          <w:numId w:val="10"/>
        </w:numPr>
        <w:shd w:val="clear" w:color="auto" w:fill="FFFFFF"/>
        <w:spacing w:before="120" w:after="0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Combate ao bullying e à violência escolar;</w:t>
      </w:r>
    </w:p>
    <w:p w:rsidR="00AC3555" w:rsidRPr="00AC3555" w:rsidP="006B401D" w14:paraId="0A07D3B2" w14:textId="77777777">
      <w:pPr>
        <w:pStyle w:val="BodyText"/>
        <w:numPr>
          <w:ilvl w:val="0"/>
          <w:numId w:val="10"/>
        </w:numPr>
        <w:shd w:val="clear" w:color="auto" w:fill="FFFFFF"/>
        <w:spacing w:before="120" w:after="0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Promoção de valores éticos e cívicos;</w:t>
      </w:r>
    </w:p>
    <w:p w:rsidR="00AC3555" w:rsidP="006B401D" w14:paraId="69510FAE" w14:textId="77777777">
      <w:pPr>
        <w:pStyle w:val="BodyText"/>
        <w:numPr>
          <w:ilvl w:val="0"/>
          <w:numId w:val="10"/>
        </w:numPr>
        <w:shd w:val="clear" w:color="auto" w:fill="FFFFFF"/>
        <w:spacing w:before="120" w:after="0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Fortalecimento da relação escola–família–comunidade.</w:t>
      </w:r>
    </w:p>
    <w:p w:rsidR="006B401D" w:rsidRPr="00AC3555" w:rsidP="006B401D" w14:paraId="69E8C286" w14:textId="77777777">
      <w:pPr>
        <w:pStyle w:val="BodyText"/>
        <w:numPr>
          <w:ilvl w:val="0"/>
          <w:numId w:val="10"/>
        </w:numPr>
        <w:shd w:val="clear" w:color="auto" w:fill="FFFFFF"/>
        <w:spacing w:before="120" w:after="0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6B401D" w:rsidP="006B401D" w14:paraId="197C046D" w14:textId="77777777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Programas de caráter preventivo, como o </w:t>
      </w:r>
      <w:r w:rsidRPr="00AC3555">
        <w:rPr>
          <w:rFonts w:ascii="Aptos" w:eastAsia="Arial" w:hAnsi="Aptos" w:cstheme="minorHAnsi"/>
          <w:b/>
          <w:bCs/>
          <w:color w:val="000000"/>
          <w:sz w:val="22"/>
          <w:szCs w:val="22"/>
        </w:rPr>
        <w:t>Programa Educacional de Resistência às Drogas e à Violência (PROERD)</w:t>
      </w: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, possuem histórico de atuação em diversos municípios </w:t>
      </w:r>
    </w:p>
    <w:p w:rsidR="006B401D" w:rsidP="006B401D" w14:paraId="53D755F5" w14:textId="77777777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AC3555" w:rsidRPr="00AC3555" w:rsidP="006B401D" w14:paraId="65D37301" w14:textId="45C28E3B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brasileiros, com foco educativo e pedagógico, voltado ao desenvolvimento de habilidades socioemocionais e à tomada de decisões responsáveis por parte dos estudantes.</w:t>
      </w:r>
    </w:p>
    <w:p w:rsidR="006B401D" w:rsidRPr="006B401D" w:rsidP="006B401D" w14:paraId="48D4B2C5" w14:textId="77777777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AC3555">
        <w:rPr>
          <w:rFonts w:ascii="Aptos" w:eastAsia="Arial" w:hAnsi="Aptos" w:cstheme="minorHAnsi"/>
          <w:bCs/>
          <w:color w:val="000000"/>
          <w:sz w:val="22"/>
          <w:szCs w:val="22"/>
        </w:rPr>
        <w:t>O reconhecimento formal desses programas como de relevante interesse público local não implica subordinação pedagógica do Município, mas sim reforça a possibilidade de cooperação institucional e continuidade das ações preventivas.</w:t>
      </w:r>
    </w:p>
    <w:p w:rsidR="004B44BB" w:rsidRPr="006B401D" w:rsidP="006B401D" w14:paraId="1FA99F8F" w14:textId="09EAEC12">
      <w:pPr>
        <w:pStyle w:val="BodyText"/>
        <w:shd w:val="clear" w:color="auto" w:fill="FFFFFF"/>
        <w:spacing w:before="12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B401D">
        <w:rPr>
          <w:rFonts w:ascii="Aptos" w:eastAsia="Arial" w:hAnsi="Aptos" w:cstheme="minorHAnsi"/>
          <w:bCs/>
          <w:color w:val="000000"/>
          <w:sz w:val="22"/>
          <w:szCs w:val="22"/>
        </w:rPr>
        <w:t>Assim, a proposição possui caráter predominantemente programático e autorizativo, não gerando impacto financeiro direto e imediato, estando em conformidade com os princípios da responsabilidade fiscal.</w:t>
      </w:r>
    </w:p>
    <w:p w:rsidR="00F77D8F" w:rsidRPr="006B401D" w:rsidP="006B401D" w14:paraId="55B36BBF" w14:textId="6252840B">
      <w:pPr>
        <w:pStyle w:val="BodyText"/>
        <w:shd w:val="clear" w:color="auto" w:fill="FFFFFF"/>
        <w:spacing w:before="12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RPr="006B401D" w:rsidP="006B401D" w14:paraId="5F395B72" w14:textId="77777777">
      <w:pPr>
        <w:pStyle w:val="BodyText"/>
        <w:shd w:val="clear" w:color="auto" w:fill="FFFFFF"/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6B401D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EB3B08" w:rsidRPr="006B401D" w:rsidP="006B401D" w14:paraId="58FA27D9" w14:textId="5B40C6D5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AC3555" w:rsidRPr="00AC3555" w:rsidP="006B401D" w14:paraId="75C2A711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O Projeto de Lei que institui a Política Municipal de Valorização das Ações Preventivas no Ambiente Escolar revela-se pertinente e alinhado às diretrizes constitucionais de proteção integral à criança e ao adolescente, bem como aos princípios que regem a educação pública.</w:t>
      </w:r>
    </w:p>
    <w:p w:rsidR="00AC3555" w:rsidRPr="00AC3555" w:rsidP="006B401D" w14:paraId="47902D43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A proposta fortalece a atuação preventiva no ambiente escolar, promovendo a cultura de paz, a cidadania, a conscientização quanto aos riscos das drogas e a redução da violência, por meio da integração entre Poder Público, comunidade escolar e instituições parceiras.</w:t>
      </w:r>
    </w:p>
    <w:p w:rsidR="00AC3555" w:rsidRPr="00AC3555" w:rsidP="006B401D" w14:paraId="01254760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O reconhecimento de programas estaduais de prevenção, a exemplo do Programa Educacional de Resistência às Drogas e à Violência (PROERD), como de relevante interesse público local, contribui para a continuidade e ampliação de ações já consolidadas, sem criar novas estruturas administrativas ou impor despesas obrigatórias imediatas ao Município.</w:t>
      </w:r>
    </w:p>
    <w:p w:rsidR="00AC3555" w:rsidRPr="00AC3555" w:rsidP="006B401D" w14:paraId="0E2FCDCC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Trata-se de medida de caráter preventivo, educativo e social, que busca fortalecer políticas públicas já existentes, conferindo-lhes respaldo normativo no âmbito municipal.</w:t>
      </w:r>
    </w:p>
    <w:p w:rsidR="00AC3555" w:rsidRPr="00AC3555" w:rsidP="006B401D" w14:paraId="5AF6CD1F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Sob o aspecto financeiro, a matéria possui natureza programática, não gerando impacto orçamentário direto, podendo sua execução ocorrer conforme a disponibilidade de recursos e planejamento do Poder Executivo.</w:t>
      </w:r>
    </w:p>
    <w:p w:rsidR="00AC3555" w:rsidRPr="006B401D" w:rsidP="006B401D" w14:paraId="6A0EF487" w14:textId="070980C2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AC3555">
        <w:rPr>
          <w:rFonts w:ascii="Aptos" w:hAnsi="Aptos" w:cstheme="minorHAnsi"/>
          <w:bCs/>
          <w:color w:val="000000"/>
          <w:sz w:val="22"/>
          <w:szCs w:val="22"/>
        </w:rPr>
        <w:t>Dessa forma, o projeto apresenta interesse público evidente, viabilidade jurídica e adequação orçamentária.</w:t>
      </w:r>
    </w:p>
    <w:p w:rsidR="00452665" w:rsidRPr="006B401D" w14:paraId="3AE7026F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F77D8F" w:rsidRPr="006B401D" w:rsidP="004B44BB" w14:paraId="7CD9579E" w14:textId="0433EA25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6B401D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1A7AAC" w:rsidRPr="006B401D" w:rsidP="001A7AAC" w14:paraId="7F1D7C56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Vereador Everton Bombarda </w:t>
      </w:r>
    </w:p>
    <w:p w:rsidR="001A7AAC" w:rsidRPr="006B401D" w:rsidP="001A7AAC" w14:paraId="2937DA8B" w14:textId="461F9F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  <w:r w:rsidRPr="006B401D">
        <w:rPr>
          <w:rFonts w:ascii="Aptos" w:eastAsia="Arial" w:hAnsi="Aptos" w:cstheme="minorHAnsi"/>
          <w:i/>
          <w:iCs/>
          <w:sz w:val="22"/>
          <w:szCs w:val="22"/>
        </w:rPr>
        <w:t>Membro da Comissão</w:t>
      </w:r>
      <w:r w:rsidRPr="006B401D" w:rsidR="004A7278">
        <w:rPr>
          <w:rFonts w:ascii="Aptos" w:eastAsia="Arial" w:hAnsi="Aptos" w:cstheme="minorHAnsi"/>
          <w:i/>
          <w:iCs/>
          <w:sz w:val="22"/>
          <w:szCs w:val="22"/>
        </w:rPr>
        <w:t>/Relator</w:t>
      </w:r>
    </w:p>
    <w:p w:rsidR="001A7AAC" w:rsidRPr="006B401D" w:rsidP="001A7AAC" w14:paraId="5EC7BE2B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6B401D" w:rsidP="001A7AAC" w14:paraId="362FB7B6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6B401D" w:rsidP="001A7AAC" w14:paraId="39DF9279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6B401D" w:rsidRPr="006B401D" w:rsidP="001A7AAC" w14:paraId="7A980513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F77D8F" w:rsidRPr="006B401D" w:rsidP="004A7278" w14:paraId="6FC00303" w14:textId="5CBB262E">
      <w:pPr>
        <w:jc w:val="both"/>
        <w:rPr>
          <w:rFonts w:ascii="Aptos" w:hAnsi="Aptos" w:cstheme="minorHAnsi"/>
          <w:b/>
          <w:color w:val="000000"/>
          <w:sz w:val="24"/>
          <w:szCs w:val="24"/>
          <w:u w:val="single"/>
        </w:rPr>
      </w:pPr>
      <w:r w:rsidRP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PAR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ECER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CONJUNTO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>DA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S COMISSÕES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0D3816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EDUCAÇÃO, SAÚDE, CULTURA, ESPORTE E ASSISTÊNCIA SOCIAL 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>E DE FINANÇAS E ORÇAMENT</w:t>
      </w:r>
      <w:r w:rsidRPr="006B401D" w:rsidR="00436CE9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>O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REFERENTE AO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>PROJETO DE LEI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Nº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1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80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2025 DE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AUTORIA </w:t>
      </w:r>
      <w:r w:rsidRPr="006B401D" w:rsidR="004A7278">
        <w:rPr>
          <w:rFonts w:ascii="Aptos" w:hAnsi="Aptos" w:cstheme="minorHAnsi"/>
          <w:b/>
          <w:color w:val="000000"/>
          <w:sz w:val="24"/>
          <w:szCs w:val="24"/>
          <w:u w:val="single"/>
        </w:rPr>
        <w:t>D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O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 VEREADOR MANOEL EDUARDO PEREIRA DA CRUZ PALOMINO.</w:t>
      </w:r>
    </w:p>
    <w:p w:rsidR="002B470D" w:rsidRPr="006B401D" w:rsidP="002B470D" w14:paraId="5EF9D2BA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6B401D">
        <w:rPr>
          <w:rFonts w:ascii="Aptos" w:hAnsi="Aptos" w:cstheme="minorHAnsi"/>
          <w:iCs/>
          <w:color w:val="000000"/>
          <w:sz w:val="22"/>
          <w:szCs w:val="22"/>
        </w:rPr>
        <w:tab/>
        <w:t>Em estrita consonância com o voto proferido pelo eminente Relator e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em comprimento ao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artigo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37 e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39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do Regimento Interno Vigente,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os membros da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 comissões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rojeto de </w:t>
      </w:r>
      <w:r w:rsidRPr="006B401D" w:rsidR="004F6522">
        <w:rPr>
          <w:rFonts w:ascii="Aptos" w:hAnsi="Aptos" w:cstheme="minorHAnsi"/>
          <w:iCs/>
          <w:color w:val="000000"/>
          <w:sz w:val="22"/>
          <w:szCs w:val="22"/>
        </w:rPr>
        <w:t>Lei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em análise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.</w:t>
      </w:r>
    </w:p>
    <w:p w:rsidR="006B401D" w:rsidRPr="006B401D" w:rsidP="002B470D" w14:paraId="354CBA34" w14:textId="59732B62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6B401D">
        <w:rPr>
          <w:rFonts w:ascii="Aptos" w:hAnsi="Aptos" w:cstheme="minorHAnsi"/>
          <w:iCs/>
          <w:color w:val="000000"/>
          <w:sz w:val="22"/>
          <w:szCs w:val="22"/>
        </w:rPr>
        <w:t>Ante o exposto, no âmbito das competências desta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 xml:space="preserve"> Comiss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 xml:space="preserve">ões 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 xml:space="preserve">, </w:t>
      </w:r>
      <w:r w:rsidRPr="006B401D">
        <w:rPr>
          <w:rFonts w:ascii="Aptos" w:hAnsi="Aptos" w:cstheme="minorHAnsi"/>
          <w:b/>
          <w:bCs/>
          <w:iCs/>
          <w:color w:val="000000"/>
          <w:sz w:val="22"/>
          <w:szCs w:val="22"/>
        </w:rPr>
        <w:t>vot</w:t>
      </w:r>
      <w:r w:rsidRPr="006B401D">
        <w:rPr>
          <w:rFonts w:ascii="Aptos" w:hAnsi="Aptos" w:cstheme="minorHAnsi"/>
          <w:b/>
          <w:bCs/>
          <w:iCs/>
          <w:color w:val="000000"/>
          <w:sz w:val="22"/>
          <w:szCs w:val="22"/>
        </w:rPr>
        <w:t xml:space="preserve">amos </w:t>
      </w:r>
      <w:r w:rsidRPr="006B401D">
        <w:rPr>
          <w:rFonts w:ascii="Aptos" w:hAnsi="Aptos" w:cstheme="minorHAnsi"/>
          <w:b/>
          <w:bCs/>
          <w:iCs/>
          <w:color w:val="000000"/>
          <w:sz w:val="22"/>
          <w:szCs w:val="22"/>
        </w:rPr>
        <w:t xml:space="preserve"> favoravelmente à aprovação do Projeto de Lei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, por reconhecer seu mérito educacional e social, sua consonância com o interesse público e sua compatibilidade com as normas orçamentárias e legais vigentes.</w:t>
      </w:r>
    </w:p>
    <w:p w:rsidR="004B44BB" w:rsidRPr="006B401D" w:rsidP="004B44BB" w14:paraId="69009BB8" w14:textId="50019347">
      <w:pPr>
        <w:pStyle w:val="BodyText"/>
        <w:spacing w:before="240" w:after="0"/>
        <w:ind w:firstLine="708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Cs/>
          <w:color w:val="000000"/>
          <w:sz w:val="22"/>
          <w:szCs w:val="22"/>
        </w:rPr>
        <w:t xml:space="preserve">Assim, sob o aspecto </w:t>
      </w:r>
      <w:r w:rsidRPr="006B401D" w:rsidR="006B401D">
        <w:rPr>
          <w:rFonts w:ascii="Aptos" w:hAnsi="Aptos" w:cstheme="minorHAnsi"/>
          <w:bCs/>
          <w:color w:val="000000"/>
          <w:sz w:val="22"/>
          <w:szCs w:val="22"/>
        </w:rPr>
        <w:t xml:space="preserve"> educativo e </w:t>
      </w:r>
      <w:r w:rsidRPr="006B401D">
        <w:rPr>
          <w:rFonts w:ascii="Aptos" w:hAnsi="Aptos" w:cstheme="minorHAnsi"/>
          <w:bCs/>
          <w:color w:val="000000"/>
          <w:sz w:val="22"/>
          <w:szCs w:val="22"/>
        </w:rPr>
        <w:t xml:space="preserve"> social, a matéria é meritória e atende ao interesse público</w:t>
      </w:r>
      <w:r w:rsidRPr="006B401D">
        <w:rPr>
          <w:rFonts w:ascii="Aptos" w:hAnsi="Aptos" w:cstheme="minorHAnsi"/>
          <w:b/>
          <w:color w:val="000000"/>
          <w:sz w:val="22"/>
          <w:szCs w:val="22"/>
        </w:rPr>
        <w:t>.</w:t>
      </w:r>
    </w:p>
    <w:p w:rsidR="004B44BB" w:rsidRPr="006B401D" w:rsidP="002B470D" w14:paraId="59BAA960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</w:p>
    <w:p w:rsidR="00F77D8F" w14:paraId="29CEB1D4" w14:textId="05AB58E1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Sala das Comissões, </w:t>
      </w:r>
      <w:r w:rsidRPr="006B401D" w:rsidR="00283131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6B401D">
        <w:rPr>
          <w:rFonts w:ascii="Aptos" w:hAnsi="Aptos" w:cstheme="minorHAnsi"/>
          <w:b/>
          <w:iCs/>
          <w:sz w:val="22"/>
          <w:szCs w:val="22"/>
        </w:rPr>
        <w:t xml:space="preserve"> 03 de março </w:t>
      </w:r>
      <w:r w:rsidRPr="006B401D" w:rsidR="00080B1D">
        <w:rPr>
          <w:rFonts w:ascii="Aptos" w:hAnsi="Aptos" w:cstheme="minorHAnsi"/>
          <w:b/>
          <w:iCs/>
          <w:sz w:val="22"/>
          <w:szCs w:val="22"/>
        </w:rPr>
        <w:t xml:space="preserve"> de 2026</w:t>
      </w:r>
    </w:p>
    <w:p w:rsidR="006B401D" w:rsidRPr="006B401D" w14:paraId="48720D1C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FD3DDE" w:rsidRPr="006B401D" w:rsidP="002B470D" w14:paraId="50B8B386" w14:textId="77777777">
      <w:pPr>
        <w:rPr>
          <w:rFonts w:ascii="Aptos" w:hAnsi="Aptos" w:cstheme="minorHAnsi"/>
          <w:iCs/>
          <w:sz w:val="22"/>
          <w:szCs w:val="22"/>
        </w:rPr>
      </w:pPr>
    </w:p>
    <w:p w:rsidR="00155C4E" w:rsidRPr="006B401D" w:rsidP="00155C4E" w14:paraId="5D994AAB" w14:textId="0FA0BD67">
      <w:pPr>
        <w:jc w:val="center"/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>COMISSÃO DE</w:t>
      </w:r>
      <w:r w:rsidRPr="006B401D">
        <w:rPr>
          <w:rFonts w:ascii="Aptos" w:hAnsi="Aptos"/>
          <w:sz w:val="22"/>
          <w:szCs w:val="22"/>
        </w:rPr>
        <w:t xml:space="preserve"> </w:t>
      </w: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6B401D" w14:paraId="7988CDE1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BF183B" w:rsidRPr="006B401D" w14:paraId="2F3933EA" w14:textId="4D0A79FE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FD3DDE" w:rsidRPr="006B401D" w:rsidP="00FD3DDE" w14:paraId="18C2759C" w14:textId="77777777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 xml:space="preserve">Vereador Ernani Luiz Donatti </w:t>
      </w:r>
      <w:r w:rsidRPr="006B401D">
        <w:rPr>
          <w:rFonts w:ascii="Aptos" w:hAnsi="Aptos" w:cstheme="minorHAnsi"/>
          <w:b/>
          <w:iCs/>
          <w:sz w:val="24"/>
          <w:szCs w:val="24"/>
        </w:rPr>
        <w:t>Gragnanello</w:t>
      </w:r>
      <w:r w:rsidRPr="006B401D">
        <w:rPr>
          <w:rFonts w:ascii="Aptos" w:hAnsi="Aptos" w:cstheme="minorHAnsi"/>
          <w:b/>
          <w:iCs/>
          <w:sz w:val="24"/>
          <w:szCs w:val="24"/>
        </w:rPr>
        <w:t xml:space="preserve"> </w:t>
      </w:r>
    </w:p>
    <w:p w:rsidR="00FD3DDE" w:rsidRPr="006B401D" w:rsidP="00FD3DDE" w14:paraId="1E7F611E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Presidente</w:t>
      </w:r>
    </w:p>
    <w:p w:rsidR="00BF183B" w:rsidRPr="006B401D" w:rsidP="00BF183B" w14:paraId="78355FC2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3DCD07D" w14:textId="32A79C59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Everton Bombarda</w:t>
      </w:r>
    </w:p>
    <w:p w:rsidR="00FD3DDE" w:rsidRPr="006B401D" w:rsidP="00BF183B" w14:paraId="56901C91" w14:textId="6DB96F68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Vice-presidente</w:t>
      </w:r>
      <w:r w:rsidRPr="006B401D" w:rsidR="00B87BE2">
        <w:rPr>
          <w:rFonts w:ascii="Aptos" w:hAnsi="Aptos" w:cstheme="minorHAnsi"/>
          <w:bCs/>
          <w:iCs/>
          <w:sz w:val="24"/>
          <w:szCs w:val="24"/>
        </w:rPr>
        <w:t>/ Relator</w:t>
      </w:r>
    </w:p>
    <w:p w:rsidR="00BF183B" w:rsidRPr="006B401D" w:rsidP="00BF183B" w14:paraId="6325DA5F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815ED13" w14:textId="5B3AAF2F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Wilians Mendes de Oliveira</w:t>
      </w:r>
    </w:p>
    <w:p w:rsidR="00FD3DDE" w:rsidRPr="006B401D" w:rsidP="00BF183B" w14:paraId="4F5D9DEA" w14:textId="6A3E91C3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Membro</w:t>
      </w:r>
    </w:p>
    <w:p w:rsidR="00155C4E" w:rsidRPr="006B401D" w:rsidP="00BF183B" w14:paraId="5F24F416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F77D8F" w:rsidRPr="006B401D" w:rsidP="00BF183B" w14:paraId="104F35F7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155C4E" w:rsidRPr="006B401D" w:rsidP="00BF183B" w14:paraId="5B003802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6B401D" w:rsidP="00BF183B" w14:paraId="32717C3E" w14:textId="77777777">
      <w:pPr>
        <w:jc w:val="center"/>
        <w:rPr>
          <w:rFonts w:ascii="Aptos" w:hAnsi="Aptos"/>
          <w:sz w:val="24"/>
          <w:szCs w:val="24"/>
        </w:rPr>
      </w:pPr>
    </w:p>
    <w:p w:rsidR="00BF183B" w:rsidRPr="006B401D" w:rsidP="00BF183B" w14:paraId="3E3758C3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240A271D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6B401D" w:rsidP="00BF183B" w14:paraId="348B4626" w14:textId="7D6AD3FB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6B401D" w:rsidP="00BF183B" w14:paraId="6C54FA0B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5E0EE5A3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6B401D" w:rsidP="00BF183B" w14:paraId="7C8C8324" w14:textId="77777777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6B401D" w:rsidP="00BF183B" w14:paraId="13096399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155C4E" w:rsidRPr="006B401D" w:rsidP="00BF183B" w14:paraId="358FEF9E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6B401D" w:rsidP="00BF183B" w14:paraId="6DE85DD5" w14:textId="77777777">
      <w:pPr>
        <w:jc w:val="center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6B401D">
        <w:rPr>
          <w:rFonts w:ascii="Aptos" w:hAnsi="Aptos" w:cs="Arial"/>
          <w:color w:val="000000"/>
          <w:sz w:val="24"/>
          <w:szCs w:val="24"/>
          <w:shd w:val="clear" w:color="auto" w:fill="FFFFFF"/>
        </w:rPr>
        <w:t>Membro</w:t>
      </w:r>
    </w:p>
    <w:sectPr w:rsidSect="004B44BB">
      <w:headerReference w:type="default" r:id="rId4"/>
      <w:footerReference w:type="default" r:id="rId5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B292C"/>
    <w:multiLevelType w:val="multilevel"/>
    <w:tmpl w:val="64A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51208"/>
    <w:rsid w:val="00155C4E"/>
    <w:rsid w:val="0018011E"/>
    <w:rsid w:val="00183A77"/>
    <w:rsid w:val="001A3B99"/>
    <w:rsid w:val="001A632E"/>
    <w:rsid w:val="001A7AAC"/>
    <w:rsid w:val="001C6BDB"/>
    <w:rsid w:val="002525C2"/>
    <w:rsid w:val="00283131"/>
    <w:rsid w:val="002B470D"/>
    <w:rsid w:val="00352060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2504F"/>
    <w:rsid w:val="006B0788"/>
    <w:rsid w:val="006B401D"/>
    <w:rsid w:val="006F3958"/>
    <w:rsid w:val="00773413"/>
    <w:rsid w:val="007B08F9"/>
    <w:rsid w:val="008649A4"/>
    <w:rsid w:val="008701ED"/>
    <w:rsid w:val="008B5026"/>
    <w:rsid w:val="0090059C"/>
    <w:rsid w:val="009308EF"/>
    <w:rsid w:val="00AA0CF2"/>
    <w:rsid w:val="00AC288F"/>
    <w:rsid w:val="00AC3555"/>
    <w:rsid w:val="00AD0F93"/>
    <w:rsid w:val="00B00CB9"/>
    <w:rsid w:val="00B252DF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A10"/>
    <w:rsid w:val="00DE21B3"/>
    <w:rsid w:val="00E653FB"/>
    <w:rsid w:val="00EB3B08"/>
    <w:rsid w:val="00EC657C"/>
    <w:rsid w:val="00F05D31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2026-03-02T18:16:00Z</dcterms:created>
  <dcterms:modified xsi:type="dcterms:W3CDTF">2026-03-02T18:16:00Z</dcterms:modified>
  <dc:language>pt-BR</dc:language>
</cp:coreProperties>
</file>