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>Parecer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</w:t>
      </w:r>
      <w:r w:rsidR="00D530C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766595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4261F2">
        <w:rPr>
          <w:rFonts w:asciiTheme="majorHAnsi" w:hAnsiTheme="majorHAnsi" w:cstheme="majorHAnsi"/>
          <w:b/>
          <w:color w:val="000000"/>
          <w:sz w:val="24"/>
          <w:szCs w:val="24"/>
        </w:rPr>
        <w:t>177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4261F2">
        <w:rPr>
          <w:rFonts w:asciiTheme="majorHAnsi" w:hAnsiTheme="majorHAnsi" w:cstheme="majorHAnsi"/>
          <w:b/>
          <w:color w:val="000000"/>
          <w:sz w:val="24"/>
          <w:szCs w:val="24"/>
        </w:rPr>
        <w:t>º 249/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69403A">
        <w:rPr>
          <w:rFonts w:asciiTheme="majorHAnsi" w:hAnsiTheme="majorHAnsi" w:cstheme="majorHAnsi"/>
          <w:sz w:val="24"/>
          <w:szCs w:val="24"/>
        </w:rPr>
        <w:t xml:space="preserve">de </w:t>
      </w:r>
      <w:r w:rsidR="0069403A">
        <w:rPr>
          <w:rFonts w:asciiTheme="majorHAnsi" w:hAnsiTheme="majorHAnsi" w:cstheme="majorHAnsi"/>
          <w:sz w:val="24"/>
          <w:szCs w:val="24"/>
        </w:rPr>
        <w:t xml:space="preserve">Lei </w:t>
      </w:r>
      <w:r w:rsidR="004261F2">
        <w:rPr>
          <w:rFonts w:asciiTheme="majorHAnsi" w:hAnsiTheme="majorHAnsi" w:cstheme="majorHAnsi"/>
          <w:sz w:val="24"/>
          <w:szCs w:val="24"/>
        </w:rPr>
        <w:t xml:space="preserve"> nº</w:t>
      </w:r>
      <w:r w:rsidR="004261F2">
        <w:rPr>
          <w:rFonts w:asciiTheme="majorHAnsi" w:hAnsiTheme="majorHAnsi" w:cstheme="majorHAnsi"/>
          <w:sz w:val="24"/>
          <w:szCs w:val="24"/>
        </w:rPr>
        <w:t xml:space="preserve"> 177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/2025, de autoria </w:t>
      </w:r>
      <w:r w:rsidR="00895599">
        <w:rPr>
          <w:rFonts w:asciiTheme="majorHAnsi" w:hAnsiTheme="majorHAnsi" w:cstheme="majorHAnsi"/>
          <w:sz w:val="24"/>
          <w:szCs w:val="24"/>
        </w:rPr>
        <w:t>do Prefeito Municipal</w:t>
      </w:r>
      <w:r w:rsidR="00D530CC">
        <w:rPr>
          <w:rFonts w:asciiTheme="majorHAnsi" w:hAnsiTheme="majorHAnsi" w:cstheme="majorHAnsi"/>
          <w:sz w:val="24"/>
          <w:szCs w:val="24"/>
        </w:rPr>
        <w:t>, sob relatoria da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677F3" w:rsidRPr="0069403A" w:rsidP="000D498E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D530CC" w:rsidR="00D530CC">
        <w:rPr>
          <w:rFonts w:asciiTheme="majorHAnsi" w:hAnsiTheme="majorHAnsi" w:cstheme="majorHAnsi"/>
          <w:sz w:val="24"/>
          <w:szCs w:val="24"/>
        </w:rPr>
        <w:t>O Exmo. Sr. Prefeito Municipal, Dr. Paulo de Oliveira e Silva, protocolou nesta Casa de Leis o P</w:t>
      </w:r>
      <w:r w:rsidR="00B21858">
        <w:rPr>
          <w:rFonts w:asciiTheme="majorHAnsi" w:hAnsiTheme="majorHAnsi" w:cstheme="majorHAnsi"/>
          <w:sz w:val="24"/>
          <w:szCs w:val="24"/>
        </w:rPr>
        <w:t>rojeto de Lei Complementar nº 31</w:t>
      </w:r>
      <w:r w:rsidRPr="00D530CC" w:rsidR="00D530CC">
        <w:rPr>
          <w:rFonts w:asciiTheme="majorHAnsi" w:hAnsiTheme="majorHAnsi" w:cstheme="majorHAnsi"/>
          <w:sz w:val="24"/>
          <w:szCs w:val="24"/>
        </w:rPr>
        <w:t xml:space="preserve">/2025, que </w:t>
      </w:r>
      <w:r w:rsidRPr="00D530CC" w:rsidR="00D530CC">
        <w:rPr>
          <w:rFonts w:asciiTheme="majorHAnsi" w:hAnsiTheme="majorHAnsi" w:cstheme="majorHAnsi"/>
          <w:b/>
          <w:sz w:val="24"/>
          <w:szCs w:val="24"/>
        </w:rPr>
        <w:t>"</w:t>
      </w:r>
      <w:r w:rsidRPr="00B21858" w:rsidR="00B21858">
        <w:t xml:space="preserve"> </w:t>
      </w:r>
      <w:r w:rsidRPr="003C4DDA" w:rsidR="003C4DDA">
        <w:rPr>
          <w:rFonts w:asciiTheme="majorHAnsi" w:hAnsiTheme="majorHAnsi" w:cstheme="majorHAnsi"/>
          <w:b/>
          <w:sz w:val="24"/>
          <w:szCs w:val="24"/>
        </w:rPr>
        <w:t>"PRORROGA O PLANO MUNICIPAL DE EDUCAÇÃO DE MOGI MIRIM, INSTITUÍDO PELA LEI MUNICIPAL Nº 5.689, DE 19 DE JUNHO DE 2015, E DÁ OUTRA PROVIDÊNCIA."</w:t>
      </w:r>
    </w:p>
    <w:p w:rsidR="003C4DDA" w:rsidRPr="003C4DDA" w:rsidP="003C4DDA">
      <w:pPr>
        <w:pStyle w:val="NormalWeb"/>
        <w:ind w:firstLine="720"/>
        <w:jc w:val="both"/>
        <w:rPr>
          <w:rFonts w:asciiTheme="majorHAnsi" w:hAnsiTheme="majorHAnsi" w:cstheme="majorHAnsi"/>
        </w:rPr>
      </w:pPr>
      <w:r w:rsidRPr="00B21858">
        <w:rPr>
          <w:rFonts w:asciiTheme="majorHAnsi" w:hAnsiTheme="majorHAnsi" w:cstheme="majorHAnsi"/>
        </w:rPr>
        <w:t>A</w:t>
      </w:r>
      <w:r w:rsidRPr="003C4DDA">
        <w:rPr>
          <w:rFonts w:asciiTheme="majorHAnsi" w:hAnsiTheme="majorHAnsi" w:cstheme="majorHAnsi"/>
        </w:rPr>
        <w:t xml:space="preserve"> propositura visa prorrogar a vigência do Plano Municipal de Educação (PME) até 31 de dezembro de 2026. Tal medida fundamenta-se na necessidade de harmonização com a legislação federal (Lei nº 14.934/2024), que estendeu a vigência do Plano Nacional de Educação (PNE) até o final de 2025, e na complexidade técnica de elaboração do novo decênio, que exige ampla participação social e articulação </w:t>
      </w:r>
      <w:r w:rsidRPr="003C4DDA">
        <w:rPr>
          <w:rFonts w:asciiTheme="majorHAnsi" w:hAnsiTheme="majorHAnsi" w:cstheme="majorHAnsi"/>
        </w:rPr>
        <w:t>intersetorial</w:t>
      </w:r>
      <w:r w:rsidRPr="003C4DDA">
        <w:rPr>
          <w:rFonts w:asciiTheme="majorHAnsi" w:hAnsiTheme="majorHAnsi" w:cstheme="majorHAnsi"/>
        </w:rPr>
        <w:t>.</w:t>
      </w:r>
    </w:p>
    <w:p w:rsidR="003C4DDA" w:rsidRPr="003C4DDA" w:rsidP="003C4DDA">
      <w:pPr>
        <w:pStyle w:val="NormalWeb"/>
        <w:ind w:firstLine="720"/>
        <w:jc w:val="both"/>
        <w:rPr>
          <w:rFonts w:asciiTheme="majorHAnsi" w:hAnsiTheme="majorHAnsi" w:cstheme="majorHAnsi"/>
        </w:rPr>
      </w:pPr>
      <w:r w:rsidRPr="003C4DDA">
        <w:rPr>
          <w:rFonts w:asciiTheme="majorHAnsi" w:hAnsiTheme="majorHAnsi" w:cstheme="majorHAnsi"/>
        </w:rPr>
        <w:t>Artigo 2º do projeto é explícito ao determinar que, até a aprovação do novo plano, os órgãos responsáveis deverão dar continuidade ao trabalho de execução das metas e estratégias já definidas no plano vigente.</w:t>
      </w:r>
    </w:p>
    <w:p w:rsidR="00A2712E" w:rsidRPr="00D677F3" w:rsidP="003C4DDA">
      <w:pPr>
        <w:pStyle w:val="NormalWeb"/>
        <w:ind w:firstLine="720"/>
        <w:jc w:val="both"/>
        <w:rPr>
          <w:rFonts w:asciiTheme="majorHAnsi" w:hAnsiTheme="majorHAnsi" w:cstheme="majorHAnsi"/>
          <w:b/>
          <w:i/>
        </w:rPr>
      </w:pPr>
      <w:r w:rsidRPr="00D677F3">
        <w:rPr>
          <w:rFonts w:asciiTheme="majorHAnsi" w:hAnsiTheme="majorHAnsi" w:cstheme="majorHAnsi"/>
          <w:b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="00D47DCE">
        <w:rPr>
          <w:rFonts w:asciiTheme="majorHAnsi" w:hAnsiTheme="majorHAnsi" w:cstheme="majorHAnsi"/>
        </w:rPr>
        <w:t>destacamos que a pre</w:t>
      </w:r>
      <w:r w:rsidRPr="00BF47AD" w:rsidR="00BF47AD">
        <w:rPr>
          <w:rFonts w:asciiTheme="majorHAnsi" w:hAnsiTheme="majorHAnsi" w:cstheme="majorHAnsi"/>
        </w:rPr>
        <w:t>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>a comissão de Justiça e Redação</w:t>
      </w:r>
      <w:r w:rsidR="00B21858">
        <w:rPr>
          <w:rFonts w:asciiTheme="majorHAnsi" w:hAnsiTheme="majorHAnsi" w:cstheme="majorHAnsi"/>
        </w:rPr>
        <w:t xml:space="preserve"> e pela empresa de assessoria jurídica da Casa</w:t>
      </w:r>
      <w:r w:rsidR="009E31A0">
        <w:rPr>
          <w:rFonts w:asciiTheme="majorHAnsi" w:hAnsiTheme="majorHAnsi" w:cstheme="majorHAnsi"/>
        </w:rPr>
        <w:t>,</w:t>
      </w:r>
      <w:r w:rsidR="00C56DF7">
        <w:rPr>
          <w:rFonts w:asciiTheme="majorHAnsi" w:hAnsiTheme="majorHAnsi" w:cstheme="majorHAnsi"/>
        </w:rPr>
        <w:t xml:space="preserve">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895599">
        <w:rPr>
          <w:rFonts w:asciiTheme="majorHAnsi" w:hAnsiTheme="majorHAnsi" w:cstheme="majorHAnsi"/>
        </w:rPr>
        <w:t>Parecer</w:t>
      </w:r>
      <w:r w:rsidR="009E31A0">
        <w:rPr>
          <w:rFonts w:asciiTheme="majorHAnsi" w:hAnsiTheme="majorHAnsi" w:cstheme="majorHAnsi"/>
        </w:rPr>
        <w:t>es</w:t>
      </w:r>
      <w:r w:rsidR="00983B49">
        <w:rPr>
          <w:rFonts w:asciiTheme="majorHAnsi" w:hAnsiTheme="majorHAnsi" w:cstheme="majorHAnsi"/>
        </w:rPr>
        <w:t xml:space="preserve"> F</w:t>
      </w:r>
      <w:r w:rsidR="009E31A0">
        <w:rPr>
          <w:rFonts w:asciiTheme="majorHAnsi" w:hAnsiTheme="majorHAnsi" w:cstheme="majorHAnsi"/>
        </w:rPr>
        <w:t>avoráveis</w:t>
      </w:r>
      <w:r w:rsidR="00A55914">
        <w:rPr>
          <w:rFonts w:asciiTheme="majorHAnsi" w:hAnsiTheme="majorHAnsi" w:cstheme="majorHAnsi"/>
        </w:rPr>
        <w:t xml:space="preserve"> do ponto de vista legal/constitucional</w:t>
      </w:r>
      <w:r w:rsidRPr="00BF47AD" w:rsidR="00BF47AD">
        <w:rPr>
          <w:rFonts w:asciiTheme="majorHAnsi" w:hAnsiTheme="majorHAnsi" w:cstheme="majorHAnsi"/>
        </w:rPr>
        <w:t>.</w:t>
      </w:r>
      <w:r w:rsidR="00B21858">
        <w:rPr>
          <w:rFonts w:asciiTheme="majorHAnsi" w:hAnsiTheme="majorHAnsi" w:cstheme="majorHAnsi"/>
        </w:rPr>
        <w:t xml:space="preserve"> Também consta nos autos Parecer Favorável quanto ao mérito, da Comissão Permanente de Educação, Saúde, Cultura, Esporte e Assistência Social</w:t>
      </w:r>
    </w:p>
    <w:p w:rsidR="00A5761E" w:rsidP="00BF47AD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3C4DDA" w:rsidRPr="003C4DDA" w:rsidP="003C4DD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3C4DDA">
        <w:rPr>
          <w:rFonts w:asciiTheme="majorHAnsi" w:hAnsiTheme="majorHAnsi" w:cstheme="majorHAnsi"/>
        </w:rPr>
        <w:t>No tocante ao aspecto orçamentário e financeiro, que compete a esta Comissão analisar, a proposta caracteriza-se como uma medida de gestão administrativa voltada à preservação da continuidade das políticas públicas educacionais.</w:t>
      </w:r>
    </w:p>
    <w:p w:rsidR="003C4DDA" w:rsidRPr="003C4DDA" w:rsidP="003C4DDA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3C4DDA" w:rsidRPr="003C4DDA" w:rsidP="003C4DD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3C4DDA">
        <w:rPr>
          <w:rFonts w:asciiTheme="majorHAnsi" w:hAnsiTheme="majorHAnsi" w:cstheme="majorHAnsi"/>
        </w:rPr>
        <w:t>A análise financeira da relatoria aponta que:</w:t>
      </w:r>
    </w:p>
    <w:p w:rsidR="003C4DDA" w:rsidRPr="003C4DDA" w:rsidP="003C4DDA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3C4DDA" w:rsidRPr="003C4DDA" w:rsidP="003C4DD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3C4DDA">
        <w:rPr>
          <w:rFonts w:asciiTheme="majorHAnsi" w:hAnsiTheme="majorHAnsi" w:cstheme="majorHAnsi"/>
        </w:rPr>
        <w:t>1.Continuidade do Trabalho Preexistente: O projeto não institui novos programas, não cria cargos e não estabelece novas vantagens remuneratórias. Trata-se, estritamente, da manutenção da eficácia jurídica de um planejamento já em curso desde 2015. Portanto, as ações e investimentos decorrentes do PME já integram a rotina administrativa e o planejamento plurianual do Município.</w:t>
      </w:r>
    </w:p>
    <w:p w:rsidR="003C4DDA" w:rsidRPr="003C4DDA" w:rsidP="003C4DDA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3C4DDA" w:rsidRPr="003C4DDA" w:rsidP="003C4DD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3C4DDA">
        <w:rPr>
          <w:rFonts w:asciiTheme="majorHAnsi" w:hAnsiTheme="majorHAnsi" w:cstheme="majorHAnsi"/>
        </w:rPr>
        <w:t>2.Ausência de Impacto Orçamentário Novo: Por se tratar de uma prorrogação de vigência para execução de metas já estabelecidas, a propositura não gera novas despesas que não estejam devidamente previstas no Orçamento Municipal Anual (LOA) e no Plano Plurianual (PPA). O custeio das metas educacionais já possui dotação orçamentária própria, respeitando os limites constitucionais de investimento na educação.</w:t>
      </w:r>
    </w:p>
    <w:p w:rsidR="003C4DDA" w:rsidRPr="003C4DDA" w:rsidP="003C4DDA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3C4DDA" w:rsidRPr="003C4DDA" w:rsidP="003C4DD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3C4DDA">
        <w:rPr>
          <w:rFonts w:asciiTheme="majorHAnsi" w:hAnsiTheme="majorHAnsi" w:cstheme="majorHAnsi"/>
        </w:rPr>
        <w:t>3.Segurança Jurídica e Eficiência: A prorrogação evita a descontinuidade administrativa e garante que o Município continue apto a receber repasses federais e estaduais vinculados ao cumprimento do Plano de Educação, protegendo as receitas correntes da Secretaria de Educação.</w:t>
      </w:r>
    </w:p>
    <w:p w:rsidR="003C4DDA" w:rsidRPr="003C4DDA" w:rsidP="003C4DDA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3C4DDA" w:rsidRPr="003C4DDA" w:rsidP="003C4DD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3C4DDA">
        <w:rPr>
          <w:rFonts w:asciiTheme="majorHAnsi" w:hAnsiTheme="majorHAnsi" w:cstheme="majorHAnsi"/>
        </w:rPr>
        <w:t>4.Natureza Regulatória: Assim como observado em pareceres anteriores desta Comissão, medidas que visam a organização e o planejamento de políticas já existentes não configuram aumento de despesa obrigatória de caráter continuado nos termos da LRF, mas sim o cumprimento de obrigações legais e constitucionais preexistentes.</w:t>
      </w:r>
    </w:p>
    <w:p w:rsidR="00A5761E" w:rsidRPr="00A5761E" w:rsidP="00A5761E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3C4DDA" w:rsidRPr="003C4DDA" w:rsidP="003C4DD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3C4DDA">
        <w:rPr>
          <w:rFonts w:asciiTheme="majorHAnsi" w:hAnsiTheme="majorHAnsi" w:cstheme="majorHAnsi"/>
        </w:rPr>
        <w:t>Desta forma, o PL nº 177/2025 configura-se como uma medida de responsabilidade fiscal e administrativa, garantindo que a rede municipal de ensino opere sob diretrizes claras enquanto se finaliza a construção do novo plano decenal.</w:t>
      </w:r>
    </w:p>
    <w:p w:rsidR="003C4DDA" w:rsidRPr="003C4DDA" w:rsidP="003C4DDA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3C4DDA" w:rsidRPr="003C4DDA" w:rsidP="003C4DDA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3C4DDA">
        <w:rPr>
          <w:rFonts w:asciiTheme="majorHAnsi" w:hAnsiTheme="majorHAnsi" w:cstheme="majorHAnsi"/>
        </w:rPr>
        <w:t>Diante de todo exposto, considerando que a matéria visa a continuidade do serviço público essencial e não gera impactos financeiros negativos ou imprevistos ao erário, não se identifica óbice para a sua regular tramitação e aprovação.</w:t>
      </w:r>
    </w:p>
    <w:p w:rsidR="009D4F58" w:rsidP="00A5761E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A57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Esta relatoria não possui emendas a propor.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59602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3A59B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12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A5761E">
        <w:rPr>
          <w:rFonts w:asciiTheme="majorHAnsi" w:hAnsiTheme="majorHAnsi" w:cstheme="majorHAnsi"/>
        </w:rPr>
        <w:t xml:space="preserve">março </w:t>
      </w:r>
      <w:r w:rsidRPr="00D677F3" w:rsidR="006B31CF">
        <w:rPr>
          <w:rFonts w:asciiTheme="majorHAnsi" w:hAnsiTheme="majorHAnsi" w:cstheme="majorHAnsi"/>
        </w:rPr>
        <w:t>de 202</w:t>
      </w:r>
      <w:r w:rsidR="00A5761E">
        <w:rPr>
          <w:rFonts w:asciiTheme="majorHAnsi" w:hAnsiTheme="majorHAnsi" w:cstheme="majorHAnsi"/>
        </w:rPr>
        <w:t>6</w:t>
      </w:r>
      <w:r w:rsidRPr="00D677F3" w:rsidR="006B31CF">
        <w:rPr>
          <w:rFonts w:asciiTheme="majorHAnsi" w:hAnsiTheme="majorHAnsi" w:cstheme="majorHAnsi"/>
        </w:rPr>
        <w:t>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D75C8D" w:rsidRP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i/>
          <w:sz w:val="20"/>
        </w:rPr>
      </w:pPr>
      <w:r w:rsidRPr="00C0742F">
        <w:rPr>
          <w:rFonts w:asciiTheme="majorHAnsi" w:hAnsiTheme="majorHAnsi" w:cstheme="majorHAnsi"/>
          <w:i/>
          <w:sz w:val="20"/>
        </w:rPr>
        <w:t>(</w:t>
      </w:r>
      <w:r w:rsidRPr="00C0742F">
        <w:rPr>
          <w:rFonts w:asciiTheme="majorHAnsi" w:hAnsiTheme="majorHAnsi" w:cstheme="majorHAnsi"/>
          <w:i/>
          <w:sz w:val="20"/>
        </w:rPr>
        <w:t>assinado</w:t>
      </w:r>
      <w:r w:rsidRPr="00C0742F">
        <w:rPr>
          <w:rFonts w:asciiTheme="majorHAnsi" w:hAnsiTheme="majorHAnsi" w:cstheme="majorHAnsi"/>
          <w:i/>
          <w:sz w:val="20"/>
        </w:rPr>
        <w:t xml:space="preserve"> digitalmente)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C4DDA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C4DDA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C4DDA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C4DD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75C8D" w:rsidRPr="00CD6830" w:rsidP="0089559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>ARECER FAVORÁVEL DA COMISSÃO DE FINANÇAS E ORÇAMENTO.</w:t>
      </w: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3C4DDA">
        <w:rPr>
          <w:rFonts w:asciiTheme="majorHAnsi" w:hAnsiTheme="majorHAnsi" w:cstheme="majorHAnsi"/>
        </w:rPr>
        <w:t>12</w:t>
      </w:r>
      <w:bookmarkStart w:id="0" w:name="_GoBack"/>
      <w:bookmarkEnd w:id="0"/>
      <w:r w:rsidR="00637C5F">
        <w:rPr>
          <w:rFonts w:asciiTheme="majorHAnsi" w:hAnsiTheme="majorHAnsi" w:cstheme="majorHAnsi"/>
        </w:rPr>
        <w:t xml:space="preserve"> de </w:t>
      </w:r>
      <w:r w:rsidR="00A5761E">
        <w:rPr>
          <w:rFonts w:asciiTheme="majorHAnsi" w:hAnsiTheme="majorHAnsi" w:cstheme="majorHAnsi"/>
        </w:rPr>
        <w:t>março</w:t>
      </w:r>
      <w:r w:rsidRPr="00D677F3">
        <w:rPr>
          <w:rFonts w:asciiTheme="majorHAnsi" w:hAnsiTheme="majorHAnsi" w:cstheme="majorHAnsi"/>
        </w:rPr>
        <w:t xml:space="preserve"> de 202</w:t>
      </w:r>
      <w:r w:rsidR="00A5761E">
        <w:rPr>
          <w:rFonts w:asciiTheme="majorHAnsi" w:hAnsiTheme="majorHAnsi" w:cstheme="majorHAnsi"/>
        </w:rPr>
        <w:t>6</w:t>
      </w:r>
      <w:r w:rsidRPr="00D677F3">
        <w:rPr>
          <w:rFonts w:asciiTheme="majorHAnsi" w:hAnsiTheme="majorHAnsi" w:cstheme="majorHAnsi"/>
        </w:rPr>
        <w:t>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06851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06851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01F10"/>
    <w:multiLevelType w:val="hybridMultilevel"/>
    <w:tmpl w:val="D6CAA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258D4"/>
    <w:multiLevelType w:val="hybridMultilevel"/>
    <w:tmpl w:val="204C4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D55BC"/>
    <w:multiLevelType w:val="hybridMultilevel"/>
    <w:tmpl w:val="AF86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11"/>
  </w:num>
  <w:num w:numId="5">
    <w:abstractNumId w:val="23"/>
  </w:num>
  <w:num w:numId="6">
    <w:abstractNumId w:val="25"/>
  </w:num>
  <w:num w:numId="7">
    <w:abstractNumId w:val="4"/>
  </w:num>
  <w:num w:numId="8">
    <w:abstractNumId w:val="13"/>
  </w:num>
  <w:num w:numId="9">
    <w:abstractNumId w:val="10"/>
  </w:num>
  <w:num w:numId="10">
    <w:abstractNumId w:val="9"/>
  </w:num>
  <w:num w:numId="11">
    <w:abstractNumId w:val="7"/>
  </w:num>
  <w:num w:numId="12">
    <w:abstractNumId w:val="17"/>
  </w:num>
  <w:num w:numId="13">
    <w:abstractNumId w:val="0"/>
  </w:num>
  <w:num w:numId="14">
    <w:abstractNumId w:val="3"/>
  </w:num>
  <w:num w:numId="15">
    <w:abstractNumId w:val="22"/>
  </w:num>
  <w:num w:numId="16">
    <w:abstractNumId w:val="14"/>
  </w:num>
  <w:num w:numId="17">
    <w:abstractNumId w:val="21"/>
  </w:num>
  <w:num w:numId="18">
    <w:abstractNumId w:val="5"/>
  </w:num>
  <w:num w:numId="19">
    <w:abstractNumId w:val="2"/>
  </w:num>
  <w:num w:numId="20">
    <w:abstractNumId w:val="20"/>
  </w:num>
  <w:num w:numId="21">
    <w:abstractNumId w:val="18"/>
  </w:num>
  <w:num w:numId="22">
    <w:abstractNumId w:val="24"/>
  </w:num>
  <w:num w:numId="23">
    <w:abstractNumId w:val="8"/>
  </w:num>
  <w:num w:numId="24">
    <w:abstractNumId w:val="15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626B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B21BF"/>
    <w:rsid w:val="000C4A24"/>
    <w:rsid w:val="000D376F"/>
    <w:rsid w:val="000D498E"/>
    <w:rsid w:val="000E58E9"/>
    <w:rsid w:val="000F4933"/>
    <w:rsid w:val="00126AE5"/>
    <w:rsid w:val="00127DAB"/>
    <w:rsid w:val="001430B8"/>
    <w:rsid w:val="0015590E"/>
    <w:rsid w:val="00181506"/>
    <w:rsid w:val="00187FC6"/>
    <w:rsid w:val="001902E0"/>
    <w:rsid w:val="00192536"/>
    <w:rsid w:val="001949A5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59B8"/>
    <w:rsid w:val="003A796B"/>
    <w:rsid w:val="003B1A59"/>
    <w:rsid w:val="003C4DDA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261F2"/>
    <w:rsid w:val="00441DC5"/>
    <w:rsid w:val="004427D7"/>
    <w:rsid w:val="00446FA1"/>
    <w:rsid w:val="004557B8"/>
    <w:rsid w:val="00456770"/>
    <w:rsid w:val="00472595"/>
    <w:rsid w:val="004755B6"/>
    <w:rsid w:val="00493896"/>
    <w:rsid w:val="004A4450"/>
    <w:rsid w:val="004B3FD2"/>
    <w:rsid w:val="004B6FDF"/>
    <w:rsid w:val="004C0017"/>
    <w:rsid w:val="004C076A"/>
    <w:rsid w:val="004D46DA"/>
    <w:rsid w:val="004E6092"/>
    <w:rsid w:val="00500EA1"/>
    <w:rsid w:val="005242B1"/>
    <w:rsid w:val="00524D00"/>
    <w:rsid w:val="00525ABC"/>
    <w:rsid w:val="00543E03"/>
    <w:rsid w:val="005515A3"/>
    <w:rsid w:val="005559D9"/>
    <w:rsid w:val="0055728D"/>
    <w:rsid w:val="0057515A"/>
    <w:rsid w:val="0059215B"/>
    <w:rsid w:val="00596023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27088"/>
    <w:rsid w:val="00637C5F"/>
    <w:rsid w:val="00670C69"/>
    <w:rsid w:val="006834FE"/>
    <w:rsid w:val="0069403A"/>
    <w:rsid w:val="00697874"/>
    <w:rsid w:val="006A54A9"/>
    <w:rsid w:val="006A762A"/>
    <w:rsid w:val="006B31CF"/>
    <w:rsid w:val="006D1946"/>
    <w:rsid w:val="006E14A1"/>
    <w:rsid w:val="006F48DD"/>
    <w:rsid w:val="007038AD"/>
    <w:rsid w:val="00716314"/>
    <w:rsid w:val="00741F3B"/>
    <w:rsid w:val="00753ABE"/>
    <w:rsid w:val="007556D8"/>
    <w:rsid w:val="00766595"/>
    <w:rsid w:val="0078178E"/>
    <w:rsid w:val="00783794"/>
    <w:rsid w:val="00784CD4"/>
    <w:rsid w:val="00785E1B"/>
    <w:rsid w:val="007911EF"/>
    <w:rsid w:val="007A08D1"/>
    <w:rsid w:val="007B6058"/>
    <w:rsid w:val="007C6029"/>
    <w:rsid w:val="007C7AD8"/>
    <w:rsid w:val="007E1160"/>
    <w:rsid w:val="00804434"/>
    <w:rsid w:val="0081335D"/>
    <w:rsid w:val="00832CAA"/>
    <w:rsid w:val="00842408"/>
    <w:rsid w:val="00847854"/>
    <w:rsid w:val="00855DD2"/>
    <w:rsid w:val="008641BE"/>
    <w:rsid w:val="00864928"/>
    <w:rsid w:val="0086613A"/>
    <w:rsid w:val="008677CB"/>
    <w:rsid w:val="00881E60"/>
    <w:rsid w:val="0088465F"/>
    <w:rsid w:val="008905C2"/>
    <w:rsid w:val="00895599"/>
    <w:rsid w:val="008956B8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77D0F"/>
    <w:rsid w:val="0098102A"/>
    <w:rsid w:val="00983B49"/>
    <w:rsid w:val="009D4F58"/>
    <w:rsid w:val="009D56B8"/>
    <w:rsid w:val="009D6B7C"/>
    <w:rsid w:val="009E31A0"/>
    <w:rsid w:val="00A00E3E"/>
    <w:rsid w:val="00A12DD9"/>
    <w:rsid w:val="00A14E63"/>
    <w:rsid w:val="00A164DC"/>
    <w:rsid w:val="00A17FE4"/>
    <w:rsid w:val="00A23604"/>
    <w:rsid w:val="00A2712E"/>
    <w:rsid w:val="00A27446"/>
    <w:rsid w:val="00A52713"/>
    <w:rsid w:val="00A55914"/>
    <w:rsid w:val="00A5761E"/>
    <w:rsid w:val="00A672C0"/>
    <w:rsid w:val="00A92E38"/>
    <w:rsid w:val="00AD2770"/>
    <w:rsid w:val="00AE4353"/>
    <w:rsid w:val="00AE5858"/>
    <w:rsid w:val="00AE6D13"/>
    <w:rsid w:val="00AF0C05"/>
    <w:rsid w:val="00AF3296"/>
    <w:rsid w:val="00AF4193"/>
    <w:rsid w:val="00AF4AC7"/>
    <w:rsid w:val="00B06851"/>
    <w:rsid w:val="00B12415"/>
    <w:rsid w:val="00B21858"/>
    <w:rsid w:val="00B23E24"/>
    <w:rsid w:val="00B30708"/>
    <w:rsid w:val="00B33FF5"/>
    <w:rsid w:val="00B45642"/>
    <w:rsid w:val="00B57090"/>
    <w:rsid w:val="00BA48C7"/>
    <w:rsid w:val="00BA67D8"/>
    <w:rsid w:val="00BE2A4B"/>
    <w:rsid w:val="00BE41D6"/>
    <w:rsid w:val="00BE68FF"/>
    <w:rsid w:val="00BE6938"/>
    <w:rsid w:val="00BF2A6F"/>
    <w:rsid w:val="00BF47AD"/>
    <w:rsid w:val="00C00566"/>
    <w:rsid w:val="00C0742F"/>
    <w:rsid w:val="00C076DE"/>
    <w:rsid w:val="00C10154"/>
    <w:rsid w:val="00C2458E"/>
    <w:rsid w:val="00C3120C"/>
    <w:rsid w:val="00C31C89"/>
    <w:rsid w:val="00C56DF7"/>
    <w:rsid w:val="00C74E3F"/>
    <w:rsid w:val="00C75973"/>
    <w:rsid w:val="00CA4349"/>
    <w:rsid w:val="00CC230E"/>
    <w:rsid w:val="00CC3E72"/>
    <w:rsid w:val="00CD6830"/>
    <w:rsid w:val="00CF288D"/>
    <w:rsid w:val="00D233F3"/>
    <w:rsid w:val="00D33D19"/>
    <w:rsid w:val="00D41199"/>
    <w:rsid w:val="00D47DCE"/>
    <w:rsid w:val="00D52DAE"/>
    <w:rsid w:val="00D530CC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2FDF"/>
    <w:rsid w:val="00DC32F0"/>
    <w:rsid w:val="00DD7EAE"/>
    <w:rsid w:val="00DE2A9A"/>
    <w:rsid w:val="00DF605F"/>
    <w:rsid w:val="00E11ECC"/>
    <w:rsid w:val="00E3543A"/>
    <w:rsid w:val="00E3658D"/>
    <w:rsid w:val="00E41ADD"/>
    <w:rsid w:val="00E471F3"/>
    <w:rsid w:val="00E57571"/>
    <w:rsid w:val="00E57668"/>
    <w:rsid w:val="00E7438B"/>
    <w:rsid w:val="00E86C91"/>
    <w:rsid w:val="00E978F5"/>
    <w:rsid w:val="00EA0447"/>
    <w:rsid w:val="00EA375D"/>
    <w:rsid w:val="00EA4E83"/>
    <w:rsid w:val="00EB1570"/>
    <w:rsid w:val="00EB3C9A"/>
    <w:rsid w:val="00EB5DDD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404C-8BD4-4D8F-8E02-7485D1CE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cp:lastPrinted>2025-02-18T14:53:00Z</cp:lastPrinted>
  <dcterms:created xsi:type="dcterms:W3CDTF">2026-03-12T15:18:00Z</dcterms:created>
  <dcterms:modified xsi:type="dcterms:W3CDTF">2026-03-12T15:18:00Z</dcterms:modified>
</cp:coreProperties>
</file>