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Parecer </w:t>
      </w:r>
      <w:r>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 xml:space="preserve">º </w:t>
      </w:r>
      <w:r w:rsidR="00DC2FDF">
        <w:rPr>
          <w:rFonts w:asciiTheme="majorHAnsi" w:hAnsiTheme="majorHAnsi" w:cstheme="majorHAnsi"/>
          <w:b/>
          <w:sz w:val="24"/>
          <w:szCs w:val="24"/>
        </w:rPr>
        <w:t>2</w:t>
      </w:r>
      <w:r w:rsidR="0069403A">
        <w:rPr>
          <w:rFonts w:asciiTheme="majorHAnsi" w:hAnsiTheme="majorHAnsi" w:cstheme="majorHAnsi"/>
          <w:b/>
          <w:color w:val="000000"/>
          <w:sz w:val="24"/>
          <w:szCs w:val="24"/>
        </w:rPr>
        <w:t xml:space="preserve"> ao Projeto de Lei</w:t>
      </w:r>
      <w:r w:rsidR="00D530CC">
        <w:rPr>
          <w:rFonts w:asciiTheme="majorHAnsi" w:hAnsiTheme="majorHAnsi" w:cstheme="majorHAnsi"/>
          <w:b/>
          <w:color w:val="000000"/>
          <w:sz w:val="24"/>
          <w:szCs w:val="24"/>
        </w:rPr>
        <w:t xml:space="preserve"> </w:t>
      </w:r>
      <w:r w:rsidR="00766595">
        <w:rPr>
          <w:rFonts w:asciiTheme="majorHAnsi" w:hAnsiTheme="majorHAnsi" w:cstheme="majorHAnsi"/>
          <w:b/>
          <w:color w:val="000000"/>
          <w:sz w:val="24"/>
          <w:szCs w:val="24"/>
        </w:rPr>
        <w:t>n</w:t>
      </w:r>
      <w:r w:rsidR="00F1632A">
        <w:rPr>
          <w:rFonts w:asciiTheme="majorHAnsi" w:hAnsiTheme="majorHAnsi" w:cstheme="majorHAnsi"/>
          <w:b/>
          <w:color w:val="000000"/>
          <w:sz w:val="24"/>
          <w:szCs w:val="24"/>
        </w:rPr>
        <w:t>º 1</w:t>
      </w:r>
      <w:r w:rsidR="00D530CC">
        <w:rPr>
          <w:rFonts w:asciiTheme="majorHAnsi" w:hAnsiTheme="majorHAnsi" w:cstheme="majorHAnsi"/>
          <w:b/>
          <w:color w:val="000000"/>
          <w:sz w:val="24"/>
          <w:szCs w:val="24"/>
        </w:rPr>
        <w:t>3</w:t>
      </w:r>
      <w:r w:rsidR="00F1632A">
        <w:rPr>
          <w:rFonts w:asciiTheme="majorHAnsi" w:hAnsiTheme="majorHAnsi" w:cstheme="majorHAnsi"/>
          <w:b/>
          <w:color w:val="000000"/>
          <w:sz w:val="24"/>
          <w:szCs w:val="24"/>
        </w:rPr>
        <w:t>/2026</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Processo </w:t>
      </w:r>
      <w:r w:rsidR="00D677F3">
        <w:rPr>
          <w:rFonts w:asciiTheme="majorHAnsi" w:hAnsiTheme="majorHAnsi" w:cstheme="majorHAnsi"/>
          <w:b/>
          <w:color w:val="000000"/>
          <w:sz w:val="24"/>
          <w:szCs w:val="24"/>
        </w:rPr>
        <w:t>n</w:t>
      </w:r>
      <w:r w:rsidR="00F1632A">
        <w:rPr>
          <w:rFonts w:asciiTheme="majorHAnsi" w:hAnsiTheme="majorHAnsi" w:cstheme="majorHAnsi"/>
          <w:b/>
          <w:color w:val="000000"/>
          <w:sz w:val="24"/>
          <w:szCs w:val="24"/>
        </w:rPr>
        <w:t>º 19/2026</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6231BE"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Conforme determina o artigo 37 da Resolução 276 de 09 de novembro de 2010 – Regimento Interno da Câmara Municipal, a Comissão de Finanças e Orçamento, emite o presente Relatório </w:t>
      </w:r>
      <w:r w:rsidR="00BE68FF">
        <w:rPr>
          <w:rFonts w:asciiTheme="majorHAnsi" w:hAnsiTheme="majorHAnsi" w:cstheme="majorHAnsi"/>
          <w:sz w:val="24"/>
          <w:szCs w:val="24"/>
        </w:rPr>
        <w:t xml:space="preserve">acerca do Projeto </w:t>
      </w:r>
      <w:r w:rsidR="0069403A">
        <w:rPr>
          <w:rFonts w:asciiTheme="majorHAnsi" w:hAnsiTheme="majorHAnsi" w:cstheme="majorHAnsi"/>
          <w:sz w:val="24"/>
          <w:szCs w:val="24"/>
        </w:rPr>
        <w:t xml:space="preserve">de Lei </w:t>
      </w:r>
      <w:r w:rsidR="00F1632A">
        <w:rPr>
          <w:rFonts w:asciiTheme="majorHAnsi" w:hAnsiTheme="majorHAnsi" w:cstheme="majorHAnsi"/>
          <w:sz w:val="24"/>
          <w:szCs w:val="24"/>
        </w:rPr>
        <w:t>nº 1</w:t>
      </w:r>
      <w:r w:rsidR="00D530CC">
        <w:rPr>
          <w:rFonts w:asciiTheme="majorHAnsi" w:hAnsiTheme="majorHAnsi" w:cstheme="majorHAnsi"/>
          <w:sz w:val="24"/>
          <w:szCs w:val="24"/>
        </w:rPr>
        <w:t>3</w:t>
      </w:r>
      <w:r w:rsidR="00F1632A">
        <w:rPr>
          <w:rFonts w:asciiTheme="majorHAnsi" w:hAnsiTheme="majorHAnsi" w:cstheme="majorHAnsi"/>
          <w:sz w:val="24"/>
          <w:szCs w:val="24"/>
        </w:rPr>
        <w:t>/2026</w:t>
      </w:r>
      <w:r w:rsidRPr="00A55914" w:rsidR="00A55914">
        <w:rPr>
          <w:rFonts w:asciiTheme="majorHAnsi" w:hAnsiTheme="majorHAnsi" w:cstheme="majorHAnsi"/>
          <w:sz w:val="24"/>
          <w:szCs w:val="24"/>
        </w:rPr>
        <w:t xml:space="preserve">, de autoria </w:t>
      </w:r>
      <w:r w:rsidR="00895599">
        <w:rPr>
          <w:rFonts w:asciiTheme="majorHAnsi" w:hAnsiTheme="majorHAnsi" w:cstheme="majorHAnsi"/>
          <w:sz w:val="24"/>
          <w:szCs w:val="24"/>
        </w:rPr>
        <w:t>do Prefeito Municipal</w:t>
      </w:r>
      <w:r w:rsidR="00D530CC">
        <w:rPr>
          <w:rFonts w:asciiTheme="majorHAnsi" w:hAnsiTheme="majorHAnsi" w:cstheme="majorHAnsi"/>
          <w:sz w:val="24"/>
          <w:szCs w:val="24"/>
        </w:rPr>
        <w:t>, sob relatoria da</w:t>
      </w:r>
      <w:r w:rsidRPr="00A55914" w:rsidR="00A55914">
        <w:rPr>
          <w:rFonts w:asciiTheme="majorHAnsi" w:hAnsiTheme="majorHAnsi" w:cstheme="majorHAnsi"/>
          <w:sz w:val="24"/>
          <w:szCs w:val="24"/>
        </w:rPr>
        <w:t xml:space="preserve"> Vereadora Mara Cristina Choquetta.</w:t>
      </w:r>
    </w:p>
    <w:p w:rsidR="00D677F3" w:rsidRPr="00D677F3"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p>
    <w:p w:rsidR="00C31C89"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r w:rsidRPr="00D677F3">
        <w:rPr>
          <w:rFonts w:asciiTheme="majorHAnsi" w:hAnsiTheme="majorHAnsi" w:cstheme="majorHAnsi"/>
          <w:b/>
          <w:sz w:val="24"/>
          <w:szCs w:val="24"/>
        </w:rPr>
        <w:t>I. Exposição da Matéria</w:t>
      </w: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F1632A" w:rsidRPr="00F1632A" w:rsidP="00F1632A">
      <w:pPr>
        <w:spacing w:before="100" w:beforeAutospacing="1"/>
        <w:contextualSpacing/>
        <w:jc w:val="both"/>
        <w:rPr>
          <w:rFonts w:asciiTheme="majorHAnsi" w:hAnsiTheme="majorHAnsi" w:cstheme="majorHAnsi"/>
          <w:sz w:val="24"/>
          <w:szCs w:val="24"/>
        </w:rPr>
      </w:pPr>
      <w:r>
        <w:rPr>
          <w:rFonts w:asciiTheme="majorHAnsi" w:hAnsiTheme="majorHAnsi" w:cstheme="majorHAnsi"/>
          <w:sz w:val="24"/>
          <w:szCs w:val="24"/>
        </w:rPr>
        <w:t xml:space="preserve">           </w:t>
      </w:r>
      <w:r w:rsidRPr="00F1632A">
        <w:rPr>
          <w:rFonts w:asciiTheme="majorHAnsi" w:hAnsiTheme="majorHAnsi" w:cstheme="majorHAnsi"/>
          <w:sz w:val="24"/>
          <w:szCs w:val="24"/>
        </w:rPr>
        <w:t xml:space="preserve"> Exmo. Sr. Prefeito Municipal, Dr. Paulo de Oliveira e Silva, protocolou nesta Casa de Leis o Projeto de Lei nº 13/2026, que originalmente "</w:t>
      </w:r>
      <w:r w:rsidRPr="00F1632A">
        <w:rPr>
          <w:rFonts w:asciiTheme="majorHAnsi" w:hAnsiTheme="majorHAnsi" w:cstheme="majorHAnsi"/>
          <w:b/>
          <w:i/>
          <w:sz w:val="24"/>
          <w:szCs w:val="24"/>
        </w:rPr>
        <w:t>DISPÕE SOBRE A ABERTURA DE CRÉDITO ADICIONAL ESPECIAL, POR REMANEJAMENTO DE DOTAÇÕES ORÇAMENTÁRIAS, NO VALOR DE R$ 3.000.000,00."</w:t>
      </w:r>
    </w:p>
    <w:p w:rsidR="00F1632A" w:rsidRPr="00F1632A" w:rsidP="00F1632A">
      <w:pPr>
        <w:spacing w:before="100" w:beforeAutospacing="1"/>
        <w:contextualSpacing/>
        <w:jc w:val="both"/>
        <w:rPr>
          <w:rFonts w:asciiTheme="majorHAnsi" w:hAnsiTheme="majorHAnsi" w:cstheme="majorHAnsi"/>
          <w:sz w:val="24"/>
          <w:szCs w:val="24"/>
        </w:rPr>
      </w:pPr>
    </w:p>
    <w:p w:rsidR="00F1632A" w:rsidP="00F1632A">
      <w:pPr>
        <w:spacing w:before="100" w:beforeAutospacing="1"/>
        <w:ind w:firstLine="720"/>
        <w:contextualSpacing/>
        <w:jc w:val="both"/>
        <w:rPr>
          <w:rFonts w:asciiTheme="majorHAnsi" w:hAnsiTheme="majorHAnsi" w:cstheme="majorHAnsi"/>
          <w:sz w:val="24"/>
          <w:szCs w:val="24"/>
        </w:rPr>
      </w:pPr>
      <w:r w:rsidRPr="00F1632A">
        <w:rPr>
          <w:rFonts w:asciiTheme="majorHAnsi" w:hAnsiTheme="majorHAnsi" w:cstheme="majorHAnsi"/>
          <w:sz w:val="24"/>
          <w:szCs w:val="24"/>
        </w:rPr>
        <w:t>A intenção original da propositura era viabilizar a abertur</w:t>
      </w:r>
      <w:r>
        <w:rPr>
          <w:rFonts w:asciiTheme="majorHAnsi" w:hAnsiTheme="majorHAnsi" w:cstheme="majorHAnsi"/>
          <w:sz w:val="24"/>
          <w:szCs w:val="24"/>
        </w:rPr>
        <w:t xml:space="preserve">a de crédito adicional especial, para Secretaria Municipal de Planejamento e Urbanismo, </w:t>
      </w:r>
      <w:r w:rsidRPr="00F1632A">
        <w:rPr>
          <w:rFonts w:asciiTheme="majorHAnsi" w:hAnsiTheme="majorHAnsi" w:cstheme="majorHAnsi"/>
          <w:sz w:val="24"/>
          <w:szCs w:val="24"/>
        </w:rPr>
        <w:t>para atender a três frentes de investimentos estratégicos, cada uma no valor de R$ 1.000.000,00:</w:t>
      </w:r>
    </w:p>
    <w:p w:rsidR="00F1632A" w:rsidP="00F1632A">
      <w:pPr>
        <w:spacing w:before="100" w:beforeAutospacing="1"/>
        <w:ind w:firstLine="720"/>
        <w:contextualSpacing/>
        <w:jc w:val="both"/>
        <w:rPr>
          <w:rFonts w:asciiTheme="majorHAnsi" w:hAnsiTheme="majorHAnsi" w:cstheme="majorHAnsi"/>
          <w:sz w:val="24"/>
          <w:szCs w:val="24"/>
        </w:rPr>
      </w:pPr>
    </w:p>
    <w:p w:rsidR="00F1632A" w:rsidP="00F1632A">
      <w:pPr>
        <w:spacing w:before="100" w:beforeAutospacing="1"/>
        <w:ind w:firstLine="720"/>
        <w:contextualSpacing/>
        <w:jc w:val="both"/>
        <w:rPr>
          <w:rFonts w:asciiTheme="majorHAnsi" w:hAnsiTheme="majorHAnsi" w:cstheme="majorHAnsi"/>
          <w:sz w:val="24"/>
          <w:szCs w:val="24"/>
        </w:rPr>
      </w:pPr>
      <w:r w:rsidRPr="00F1632A">
        <w:rPr>
          <w:rFonts w:asciiTheme="majorHAnsi" w:hAnsiTheme="majorHAnsi" w:cstheme="majorHAnsi"/>
          <w:sz w:val="24"/>
          <w:szCs w:val="24"/>
        </w:rPr>
        <w:t>1.Obras de Infr</w:t>
      </w:r>
      <w:r>
        <w:rPr>
          <w:rFonts w:asciiTheme="majorHAnsi" w:hAnsiTheme="majorHAnsi" w:cstheme="majorHAnsi"/>
          <w:sz w:val="24"/>
          <w:szCs w:val="24"/>
        </w:rPr>
        <w:t>aestruturas em Estradas Rurais;</w:t>
      </w:r>
    </w:p>
    <w:p w:rsidR="00F1632A" w:rsidP="00F1632A">
      <w:pPr>
        <w:spacing w:before="100" w:beforeAutospacing="1"/>
        <w:ind w:firstLine="720"/>
        <w:contextualSpacing/>
        <w:jc w:val="both"/>
        <w:rPr>
          <w:rFonts w:asciiTheme="majorHAnsi" w:hAnsiTheme="majorHAnsi" w:cstheme="majorHAnsi"/>
          <w:sz w:val="24"/>
          <w:szCs w:val="24"/>
        </w:rPr>
      </w:pPr>
      <w:r w:rsidRPr="00F1632A">
        <w:rPr>
          <w:rFonts w:asciiTheme="majorHAnsi" w:hAnsiTheme="majorHAnsi" w:cstheme="majorHAnsi"/>
          <w:sz w:val="24"/>
          <w:szCs w:val="24"/>
        </w:rPr>
        <w:t>2.I</w:t>
      </w:r>
      <w:r>
        <w:rPr>
          <w:rFonts w:asciiTheme="majorHAnsi" w:hAnsiTheme="majorHAnsi" w:cstheme="majorHAnsi"/>
          <w:sz w:val="24"/>
          <w:szCs w:val="24"/>
        </w:rPr>
        <w:t>mplantação do Teatro Municipal;</w:t>
      </w:r>
    </w:p>
    <w:p w:rsidR="00F1632A" w:rsidRPr="00F1632A" w:rsidP="00F1632A">
      <w:pPr>
        <w:spacing w:before="100" w:beforeAutospacing="1"/>
        <w:ind w:firstLine="720"/>
        <w:contextualSpacing/>
        <w:jc w:val="both"/>
        <w:rPr>
          <w:rFonts w:asciiTheme="majorHAnsi" w:hAnsiTheme="majorHAnsi" w:cstheme="majorHAnsi"/>
          <w:sz w:val="24"/>
          <w:szCs w:val="24"/>
        </w:rPr>
      </w:pPr>
      <w:r w:rsidRPr="00F1632A">
        <w:rPr>
          <w:rFonts w:asciiTheme="majorHAnsi" w:hAnsiTheme="majorHAnsi" w:cstheme="majorHAnsi"/>
          <w:sz w:val="24"/>
          <w:szCs w:val="24"/>
        </w:rPr>
        <w:t>3.Implantação do Paço Municipal.</w:t>
      </w:r>
    </w:p>
    <w:p w:rsidR="00F1632A" w:rsidRPr="00F1632A" w:rsidP="00F1632A">
      <w:pPr>
        <w:spacing w:before="100" w:beforeAutospacing="1"/>
        <w:contextualSpacing/>
        <w:jc w:val="both"/>
        <w:rPr>
          <w:rFonts w:asciiTheme="majorHAnsi" w:hAnsiTheme="majorHAnsi" w:cstheme="majorHAnsi"/>
          <w:sz w:val="24"/>
          <w:szCs w:val="24"/>
        </w:rPr>
      </w:pPr>
    </w:p>
    <w:p w:rsidR="00E5461E" w:rsidP="00BD4115">
      <w:pPr>
        <w:spacing w:before="100" w:beforeAutospacing="1"/>
        <w:ind w:firstLine="720"/>
        <w:contextualSpacing/>
        <w:jc w:val="both"/>
        <w:rPr>
          <w:rFonts w:asciiTheme="majorHAnsi" w:hAnsiTheme="majorHAnsi" w:cstheme="majorHAnsi"/>
          <w:sz w:val="24"/>
          <w:szCs w:val="24"/>
        </w:rPr>
      </w:pPr>
      <w:r>
        <w:rPr>
          <w:rFonts w:asciiTheme="majorHAnsi" w:hAnsiTheme="majorHAnsi" w:cstheme="majorHAnsi"/>
          <w:sz w:val="24"/>
          <w:szCs w:val="24"/>
        </w:rPr>
        <w:t>As referidas obras estão previstas para serem executadas mediante a aprovação da Lei Municipal nº 6.872/2025 que autorizou a Prefeitura Municipal a realizar operação de crédito (FINISA X).</w:t>
      </w:r>
      <w:r w:rsidR="00BD4115">
        <w:rPr>
          <w:rFonts w:asciiTheme="majorHAnsi" w:hAnsiTheme="majorHAnsi" w:cstheme="majorHAnsi"/>
          <w:sz w:val="24"/>
          <w:szCs w:val="24"/>
        </w:rPr>
        <w:t xml:space="preserve"> </w:t>
      </w:r>
    </w:p>
    <w:p w:rsidR="00E5461E" w:rsidP="00BD4115">
      <w:pPr>
        <w:spacing w:before="100" w:beforeAutospacing="1"/>
        <w:ind w:firstLine="720"/>
        <w:contextualSpacing/>
        <w:jc w:val="both"/>
        <w:rPr>
          <w:rFonts w:asciiTheme="majorHAnsi" w:hAnsiTheme="majorHAnsi" w:cstheme="majorHAnsi"/>
          <w:sz w:val="24"/>
          <w:szCs w:val="24"/>
        </w:rPr>
      </w:pPr>
    </w:p>
    <w:p w:rsidR="00F1632A" w:rsidP="00BD4115">
      <w:pPr>
        <w:spacing w:before="100" w:beforeAutospacing="1"/>
        <w:ind w:firstLine="720"/>
        <w:contextualSpacing/>
        <w:jc w:val="both"/>
        <w:rPr>
          <w:rFonts w:asciiTheme="majorHAnsi" w:hAnsiTheme="majorHAnsi" w:cstheme="majorHAnsi"/>
          <w:sz w:val="24"/>
          <w:szCs w:val="24"/>
        </w:rPr>
      </w:pPr>
      <w:r>
        <w:rPr>
          <w:rFonts w:asciiTheme="majorHAnsi" w:hAnsiTheme="majorHAnsi" w:cstheme="majorHAnsi"/>
          <w:sz w:val="24"/>
          <w:szCs w:val="24"/>
        </w:rPr>
        <w:t xml:space="preserve">O objetivo inicial da presente propositura é remanejar parcialmente os recursos desta operação para suprir a necessidade de execução dos projetos executivos da obra. </w:t>
      </w:r>
    </w:p>
    <w:p w:rsidR="00F1632A" w:rsidP="00F1632A">
      <w:pPr>
        <w:spacing w:before="100" w:beforeAutospacing="1"/>
        <w:ind w:firstLine="720"/>
        <w:contextualSpacing/>
        <w:jc w:val="both"/>
        <w:rPr>
          <w:rFonts w:asciiTheme="majorHAnsi" w:hAnsiTheme="majorHAnsi" w:cstheme="majorHAnsi"/>
          <w:sz w:val="24"/>
          <w:szCs w:val="24"/>
        </w:rPr>
      </w:pPr>
    </w:p>
    <w:p w:rsidR="00F1632A" w:rsidRPr="00F1632A" w:rsidP="00F1632A">
      <w:pPr>
        <w:spacing w:before="100" w:beforeAutospacing="1"/>
        <w:ind w:firstLine="720"/>
        <w:contextualSpacing/>
        <w:jc w:val="both"/>
        <w:rPr>
          <w:rFonts w:asciiTheme="majorHAnsi" w:hAnsiTheme="majorHAnsi" w:cstheme="majorHAnsi"/>
          <w:sz w:val="24"/>
          <w:szCs w:val="24"/>
        </w:rPr>
      </w:pPr>
      <w:r w:rsidRPr="00F1632A">
        <w:rPr>
          <w:rFonts w:asciiTheme="majorHAnsi" w:hAnsiTheme="majorHAnsi" w:cstheme="majorHAnsi"/>
          <w:sz w:val="24"/>
          <w:szCs w:val="24"/>
        </w:rPr>
        <w:t>Posteriormente, o Poder Executivo encaminhou a Mensagem Modificativa nº 001/2026, correspondente à Mensagem nº 004/2026, com o objetivo de readequar tecnicamente a destinação desses recursos. A modificação propõe a retirada das rubricas destinadas às Estradas Rurais e ao Teatro Municipal, concentrando o remanejamento na contratação de projetos executivos de obras públicas (Secretaria de Governo) e mantendo a dotação para a Implantação do Paço Municipal (Secretaria de Obras), visando atender a procedimentos licitatórios já em andamento.</w:t>
      </w:r>
    </w:p>
    <w:p w:rsidR="00596023" w:rsidRPr="00F1632A" w:rsidP="00D677F3">
      <w:pPr>
        <w:spacing w:before="100" w:beforeAutospacing="1"/>
        <w:contextualSpacing/>
        <w:jc w:val="both"/>
        <w:rPr>
          <w:rFonts w:asciiTheme="majorHAnsi" w:hAnsiTheme="majorHAnsi" w:cstheme="majorHAnsi"/>
          <w:i/>
        </w:rPr>
      </w:pPr>
    </w:p>
    <w:p w:rsidR="00A2712E" w:rsidRPr="00D677F3" w:rsidP="00D677F3">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b/>
          <w:sz w:val="24"/>
          <w:szCs w:val="24"/>
        </w:rPr>
        <w:t>II. Do mérito e conclusões da relatora</w:t>
      </w:r>
    </w:p>
    <w:p w:rsidR="00A2712E" w:rsidP="00BF47AD">
      <w:pPr>
        <w:pStyle w:val="NormalWeb"/>
        <w:spacing w:after="0" w:afterAutospacing="0"/>
        <w:contextualSpacing/>
        <w:jc w:val="both"/>
        <w:rPr>
          <w:rStyle w:val="Strong"/>
          <w:rFonts w:asciiTheme="majorHAnsi" w:hAnsiTheme="majorHAnsi" w:cstheme="majorHAnsi"/>
          <w:b w:val="0"/>
          <w:color w:val="FF0000"/>
        </w:rPr>
      </w:pPr>
      <w:r w:rsidRPr="00D677F3">
        <w:rPr>
          <w:rFonts w:asciiTheme="majorHAnsi" w:hAnsiTheme="majorHAnsi" w:cstheme="majorHAnsi"/>
          <w:color w:val="FF0000"/>
        </w:rPr>
        <w:tab/>
      </w:r>
      <w:r w:rsidRPr="00BF47AD">
        <w:rPr>
          <w:rFonts w:asciiTheme="majorHAnsi" w:hAnsiTheme="majorHAnsi" w:cstheme="majorHAnsi"/>
        </w:rPr>
        <w:t xml:space="preserve">Inicialmente, </w:t>
      </w:r>
      <w:r w:rsidR="00D47DCE">
        <w:rPr>
          <w:rFonts w:asciiTheme="majorHAnsi" w:hAnsiTheme="majorHAnsi" w:cstheme="majorHAnsi"/>
        </w:rPr>
        <w:t>destacamos que a pre</w:t>
      </w:r>
      <w:r w:rsidRPr="00BF47AD" w:rsidR="00BF47AD">
        <w:rPr>
          <w:rFonts w:asciiTheme="majorHAnsi" w:hAnsiTheme="majorHAnsi" w:cstheme="majorHAnsi"/>
        </w:rPr>
        <w:t>sente propositura já tra</w:t>
      </w:r>
      <w:r w:rsidR="00637C5F">
        <w:rPr>
          <w:rFonts w:asciiTheme="majorHAnsi" w:hAnsiTheme="majorHAnsi" w:cstheme="majorHAnsi"/>
        </w:rPr>
        <w:t>mitou pel</w:t>
      </w:r>
      <w:r w:rsidR="00C56DF7">
        <w:rPr>
          <w:rFonts w:asciiTheme="majorHAnsi" w:hAnsiTheme="majorHAnsi" w:cstheme="majorHAnsi"/>
        </w:rPr>
        <w:t>a comissão de Justiça e Redação</w:t>
      </w:r>
      <w:r w:rsidR="009E31A0">
        <w:rPr>
          <w:rFonts w:asciiTheme="majorHAnsi" w:hAnsiTheme="majorHAnsi" w:cstheme="majorHAnsi"/>
        </w:rPr>
        <w:t xml:space="preserve"> e </w:t>
      </w:r>
      <w:r w:rsidR="00BD4115">
        <w:rPr>
          <w:rFonts w:asciiTheme="majorHAnsi" w:hAnsiTheme="majorHAnsi" w:cstheme="majorHAnsi"/>
        </w:rPr>
        <w:t xml:space="preserve">Assessoria Jurídica da UVESP – União dos Vereadores do Estado de São </w:t>
      </w:r>
      <w:r w:rsidR="008742DD">
        <w:rPr>
          <w:rFonts w:asciiTheme="majorHAnsi" w:hAnsiTheme="majorHAnsi" w:cstheme="majorHAnsi"/>
        </w:rPr>
        <w:t>Paulo, recebendo</w:t>
      </w:r>
      <w:r w:rsidRPr="00BF47AD" w:rsidR="00BF47AD">
        <w:rPr>
          <w:rFonts w:asciiTheme="majorHAnsi" w:hAnsiTheme="majorHAnsi" w:cstheme="majorHAnsi"/>
        </w:rPr>
        <w:t xml:space="preserve"> </w:t>
      </w:r>
      <w:r w:rsidR="00895599">
        <w:rPr>
          <w:rFonts w:asciiTheme="majorHAnsi" w:hAnsiTheme="majorHAnsi" w:cstheme="majorHAnsi"/>
        </w:rPr>
        <w:t>Parecer</w:t>
      </w:r>
      <w:r w:rsidR="009E31A0">
        <w:rPr>
          <w:rFonts w:asciiTheme="majorHAnsi" w:hAnsiTheme="majorHAnsi" w:cstheme="majorHAnsi"/>
        </w:rPr>
        <w:t>es</w:t>
      </w:r>
      <w:r w:rsidR="00983B49">
        <w:rPr>
          <w:rFonts w:asciiTheme="majorHAnsi" w:hAnsiTheme="majorHAnsi" w:cstheme="majorHAnsi"/>
        </w:rPr>
        <w:t xml:space="preserve"> F</w:t>
      </w:r>
      <w:r w:rsidR="009E31A0">
        <w:rPr>
          <w:rFonts w:asciiTheme="majorHAnsi" w:hAnsiTheme="majorHAnsi" w:cstheme="majorHAnsi"/>
        </w:rPr>
        <w:t>avoráveis</w:t>
      </w:r>
      <w:r w:rsidR="00A55914">
        <w:rPr>
          <w:rFonts w:asciiTheme="majorHAnsi" w:hAnsiTheme="majorHAnsi" w:cstheme="majorHAnsi"/>
        </w:rPr>
        <w:t xml:space="preserve"> do ponto de vista legal/constitucional</w:t>
      </w:r>
      <w:r w:rsidRPr="00BF47AD" w:rsidR="00BF47AD">
        <w:rPr>
          <w:rFonts w:asciiTheme="majorHAnsi" w:hAnsiTheme="majorHAnsi" w:cstheme="majorHAnsi"/>
        </w:rPr>
        <w:t>.</w:t>
      </w:r>
    </w:p>
    <w:p w:rsidR="00D677F3" w:rsidRPr="00D677F3" w:rsidP="00D677F3">
      <w:pPr>
        <w:pStyle w:val="NormalWeb"/>
        <w:spacing w:after="0" w:afterAutospacing="0"/>
        <w:contextualSpacing/>
        <w:jc w:val="both"/>
        <w:rPr>
          <w:rStyle w:val="Strong"/>
          <w:rFonts w:asciiTheme="majorHAnsi" w:hAnsiTheme="majorHAnsi" w:cstheme="majorHAnsi"/>
          <w:b w:val="0"/>
          <w:color w:val="FF0000"/>
        </w:rPr>
      </w:pPr>
    </w:p>
    <w:p w:rsidR="008742DD" w:rsidRPr="008742DD" w:rsidP="008742DD">
      <w:pPr>
        <w:pStyle w:val="NormalWeb"/>
        <w:contextualSpacing/>
        <w:jc w:val="both"/>
        <w:rPr>
          <w:rFonts w:asciiTheme="majorHAnsi" w:hAnsiTheme="majorHAnsi" w:cstheme="majorHAnsi"/>
        </w:rPr>
      </w:pPr>
      <w:r>
        <w:rPr>
          <w:rFonts w:asciiTheme="majorHAnsi" w:hAnsiTheme="majorHAnsi" w:cstheme="majorHAnsi"/>
        </w:rPr>
        <w:tab/>
      </w:r>
      <w:r>
        <w:rPr>
          <w:rFonts w:asciiTheme="majorHAnsi" w:hAnsiTheme="majorHAnsi" w:cstheme="majorHAnsi"/>
        </w:rPr>
        <w:t>N</w:t>
      </w:r>
      <w:r w:rsidRPr="008742DD">
        <w:rPr>
          <w:rFonts w:asciiTheme="majorHAnsi" w:hAnsiTheme="majorHAnsi" w:cstheme="majorHAnsi"/>
        </w:rPr>
        <w:t>o tocante ao aspecto orçamentário e financeiro, que comp</w:t>
      </w:r>
      <w:r>
        <w:rPr>
          <w:rFonts w:asciiTheme="majorHAnsi" w:hAnsiTheme="majorHAnsi" w:cstheme="majorHAnsi"/>
        </w:rPr>
        <w:t>ete a esta Comissão analisar, em especial a Mensagem Modificativa</w:t>
      </w:r>
      <w:r w:rsidR="00E5461E">
        <w:rPr>
          <w:rFonts w:asciiTheme="majorHAnsi" w:hAnsiTheme="majorHAnsi" w:cstheme="majorHAnsi"/>
        </w:rPr>
        <w:t xml:space="preserve"> que altera o projeto original</w:t>
      </w:r>
      <w:r>
        <w:rPr>
          <w:rFonts w:asciiTheme="majorHAnsi" w:hAnsiTheme="majorHAnsi" w:cstheme="majorHAnsi"/>
        </w:rPr>
        <w:t>, destacamos:</w:t>
      </w:r>
    </w:p>
    <w:p w:rsidR="008742DD" w:rsidRPr="008742DD" w:rsidP="008742DD">
      <w:pPr>
        <w:pStyle w:val="NormalWeb"/>
        <w:contextualSpacing/>
        <w:jc w:val="both"/>
        <w:rPr>
          <w:rFonts w:asciiTheme="majorHAnsi" w:hAnsiTheme="majorHAnsi" w:cstheme="majorHAnsi"/>
        </w:rPr>
      </w:pPr>
    </w:p>
    <w:p w:rsidR="008742DD" w:rsidP="008742DD">
      <w:pPr>
        <w:pStyle w:val="NormalWeb"/>
        <w:numPr>
          <w:ilvl w:val="0"/>
          <w:numId w:val="26"/>
        </w:numPr>
        <w:contextualSpacing/>
        <w:jc w:val="both"/>
        <w:rPr>
          <w:rFonts w:asciiTheme="majorHAnsi" w:hAnsiTheme="majorHAnsi" w:cstheme="majorHAnsi"/>
        </w:rPr>
      </w:pPr>
      <w:r w:rsidRPr="008742DD">
        <w:rPr>
          <w:rFonts w:asciiTheme="majorHAnsi" w:hAnsiTheme="majorHAnsi" w:cstheme="majorHAnsi"/>
          <w:b/>
        </w:rPr>
        <w:t>Origem dos Recursos</w:t>
      </w:r>
      <w:r w:rsidRPr="008742DD">
        <w:rPr>
          <w:rFonts w:asciiTheme="majorHAnsi" w:hAnsiTheme="majorHAnsi" w:cstheme="majorHAnsi"/>
        </w:rPr>
        <w:t xml:space="preserve">: O crédito continua sendo coberto por meio de remanejamento parcial de dotações orçamentárias vigentes, utilizando como fonte de recurso Operação de Crédito FINISA X, </w:t>
      </w:r>
      <w:r w:rsidRPr="008742DD">
        <w:rPr>
          <w:rFonts w:asciiTheme="majorHAnsi" w:hAnsiTheme="majorHAnsi" w:cstheme="majorHAnsi"/>
        </w:rPr>
        <w:t>Contrato</w:t>
      </w:r>
      <w:r w:rsidRPr="008742DD">
        <w:rPr>
          <w:rFonts w:asciiTheme="majorHAnsi" w:hAnsiTheme="majorHAnsi" w:cstheme="majorHAnsi"/>
        </w:rPr>
        <w:t xml:space="preserve"> nº 0642.990-73 (Fonte 07). Portanto, não há criação de despesa nova sem lastro financeiro, respeitando o Art. 43 da Lei Federal nº 4.320/1964.</w:t>
      </w:r>
    </w:p>
    <w:p w:rsidR="008742DD" w:rsidP="008742DD">
      <w:pPr>
        <w:pStyle w:val="NormalWeb"/>
        <w:ind w:left="720"/>
        <w:contextualSpacing/>
        <w:jc w:val="both"/>
        <w:rPr>
          <w:rFonts w:asciiTheme="majorHAnsi" w:hAnsiTheme="majorHAnsi" w:cstheme="majorHAnsi"/>
        </w:rPr>
      </w:pPr>
    </w:p>
    <w:p w:rsidR="008742DD" w:rsidP="008742DD">
      <w:pPr>
        <w:pStyle w:val="NormalWeb"/>
        <w:numPr>
          <w:ilvl w:val="0"/>
          <w:numId w:val="26"/>
        </w:numPr>
        <w:contextualSpacing/>
        <w:jc w:val="both"/>
        <w:rPr>
          <w:rFonts w:asciiTheme="majorHAnsi" w:hAnsiTheme="majorHAnsi" w:cstheme="majorHAnsi"/>
        </w:rPr>
      </w:pPr>
      <w:r w:rsidRPr="008742DD">
        <w:rPr>
          <w:rFonts w:asciiTheme="majorHAnsi" w:hAnsiTheme="majorHAnsi" w:cstheme="majorHAnsi"/>
          <w:b/>
        </w:rPr>
        <w:t>Adequação Técnica e Planejamento:</w:t>
      </w:r>
      <w:r w:rsidRPr="008742DD">
        <w:rPr>
          <w:rFonts w:asciiTheme="majorHAnsi" w:hAnsiTheme="majorHAnsi" w:cstheme="majorHAnsi"/>
        </w:rPr>
        <w:t xml:space="preserve"> A modificação visa permitir a contratação de projetos executivos, etapa indispensável para a correta execução orçamentária e física dos investimentos municipais. A manutenção da dotação para a Implantação do Paço Municipal (R$ 1.000.000,00) é justificada pela existência de processo licitatório em curso, evitando prejuízos administrativos e desperdício de recursos públicos.</w:t>
      </w:r>
    </w:p>
    <w:p w:rsidR="008742DD" w:rsidP="008742DD">
      <w:pPr>
        <w:pStyle w:val="NormalWeb"/>
        <w:ind w:left="720"/>
        <w:contextualSpacing/>
        <w:jc w:val="both"/>
        <w:rPr>
          <w:rFonts w:asciiTheme="majorHAnsi" w:hAnsiTheme="majorHAnsi" w:cstheme="majorHAnsi"/>
        </w:rPr>
      </w:pPr>
    </w:p>
    <w:p w:rsidR="008742DD" w:rsidRPr="008742DD" w:rsidP="008742DD">
      <w:pPr>
        <w:pStyle w:val="NormalWeb"/>
        <w:numPr>
          <w:ilvl w:val="0"/>
          <w:numId w:val="26"/>
        </w:numPr>
        <w:contextualSpacing/>
        <w:jc w:val="both"/>
        <w:rPr>
          <w:rFonts w:asciiTheme="majorHAnsi" w:hAnsiTheme="majorHAnsi" w:cstheme="majorHAnsi"/>
        </w:rPr>
      </w:pPr>
      <w:r w:rsidRPr="008742DD">
        <w:rPr>
          <w:rFonts w:asciiTheme="majorHAnsi" w:hAnsiTheme="majorHAnsi" w:cstheme="majorHAnsi"/>
          <w:b/>
        </w:rPr>
        <w:t>Conformidade com PPA e LDO:</w:t>
      </w:r>
      <w:r w:rsidRPr="008742DD">
        <w:rPr>
          <w:rFonts w:asciiTheme="majorHAnsi" w:hAnsiTheme="majorHAnsi" w:cstheme="majorHAnsi"/>
        </w:rPr>
        <w:t xml:space="preserve"> O Artigo 4º da propositura garante que os valores constantes nos anexos do Plano Plurianual (PPA 2026-2029) e da Lei de Diretrizes Orçamentárias (LDO 2026) sejam devidamente atualizados pelas classificações programáticas remanejadas, assegurando a harmonia entre as peças de planejamento.</w:t>
      </w:r>
    </w:p>
    <w:p w:rsidR="008742DD" w:rsidRPr="008742DD" w:rsidP="008742DD">
      <w:pPr>
        <w:pStyle w:val="NormalWeb"/>
        <w:contextualSpacing/>
        <w:jc w:val="both"/>
        <w:rPr>
          <w:rFonts w:asciiTheme="majorHAnsi" w:hAnsiTheme="majorHAnsi" w:cstheme="majorHAnsi"/>
        </w:rPr>
      </w:pPr>
    </w:p>
    <w:p w:rsidR="00FB1D05" w:rsidP="00E5461E">
      <w:pPr>
        <w:pStyle w:val="NormalWeb"/>
        <w:ind w:firstLine="720"/>
        <w:contextualSpacing/>
        <w:jc w:val="both"/>
        <w:rPr>
          <w:rFonts w:asciiTheme="majorHAnsi" w:hAnsiTheme="majorHAnsi" w:cstheme="majorHAnsi"/>
        </w:rPr>
      </w:pPr>
    </w:p>
    <w:p w:rsidR="00E5461E" w:rsidP="00E5461E">
      <w:pPr>
        <w:pStyle w:val="NormalWeb"/>
        <w:ind w:firstLine="720"/>
        <w:contextualSpacing/>
        <w:jc w:val="both"/>
        <w:rPr>
          <w:rFonts w:asciiTheme="majorHAnsi" w:hAnsiTheme="majorHAnsi" w:cstheme="majorHAnsi"/>
        </w:rPr>
      </w:pPr>
      <w:r w:rsidRPr="008742DD">
        <w:rPr>
          <w:rFonts w:asciiTheme="majorHAnsi" w:hAnsiTheme="majorHAnsi" w:cstheme="majorHAnsi"/>
        </w:rPr>
        <w:t>Desta forma, a Mensagem Modificativa ao PL nº 13/2026 configura-se como um ajuste técnico necessário para a eficiência da gestão orçamentária, não alterando o impacto financeiro global da proposta original e garantindo a correta destinação dos recursos para projetos estratégicos do Município.</w:t>
      </w:r>
      <w:r>
        <w:rPr>
          <w:rFonts w:asciiTheme="majorHAnsi" w:hAnsiTheme="majorHAnsi" w:cstheme="majorHAnsi"/>
        </w:rPr>
        <w:t xml:space="preserve"> Ressaltamos que não há impacto financeiro ou criação de nova despesa não prevista no orçamento anual, pois se trata de um remanejamento de valores já previsto para execução da obra. </w:t>
      </w:r>
    </w:p>
    <w:p w:rsidR="00E5461E" w:rsidP="00E5461E">
      <w:pPr>
        <w:pStyle w:val="NormalWeb"/>
        <w:ind w:firstLine="720"/>
        <w:contextualSpacing/>
        <w:jc w:val="both"/>
        <w:rPr>
          <w:rFonts w:asciiTheme="majorHAnsi" w:hAnsiTheme="majorHAnsi" w:cstheme="majorHAnsi"/>
        </w:rPr>
      </w:pPr>
    </w:p>
    <w:p w:rsidR="008742DD" w:rsidRPr="008742DD" w:rsidP="00E5461E">
      <w:pPr>
        <w:pStyle w:val="NormalWeb"/>
        <w:ind w:firstLine="720"/>
        <w:contextualSpacing/>
        <w:jc w:val="both"/>
        <w:rPr>
          <w:rFonts w:asciiTheme="majorHAnsi" w:hAnsiTheme="majorHAnsi" w:cstheme="majorHAnsi"/>
        </w:rPr>
      </w:pPr>
      <w:r w:rsidRPr="00E5461E">
        <w:rPr>
          <w:rFonts w:asciiTheme="majorHAnsi" w:hAnsiTheme="majorHAnsi" w:cstheme="majorHAnsi"/>
          <w:b/>
        </w:rPr>
        <w:t>Entretanto, ALERTAMOS</w:t>
      </w:r>
      <w:r>
        <w:rPr>
          <w:rFonts w:asciiTheme="majorHAnsi" w:hAnsiTheme="majorHAnsi" w:cstheme="majorHAnsi"/>
        </w:rPr>
        <w:t xml:space="preserve"> quanto a gestão austera dos recursos remanescentes no momento exato da execução da obra, para que tal remanejamento não implique em falta de recurso para sua finalização, ou necessite de novo remanejamento de outras dotações, “descobrindo” despesa alheia.</w:t>
      </w:r>
    </w:p>
    <w:p w:rsidR="008742DD" w:rsidRPr="008742DD" w:rsidP="008742DD">
      <w:pPr>
        <w:pStyle w:val="NormalWeb"/>
        <w:contextualSpacing/>
        <w:jc w:val="both"/>
        <w:rPr>
          <w:rFonts w:asciiTheme="majorHAnsi" w:hAnsiTheme="majorHAnsi" w:cstheme="majorHAnsi"/>
        </w:rPr>
      </w:pPr>
    </w:p>
    <w:p w:rsidR="008742DD" w:rsidRPr="008742DD" w:rsidP="00E5461E">
      <w:pPr>
        <w:pStyle w:val="NormalWeb"/>
        <w:ind w:firstLine="720"/>
        <w:contextualSpacing/>
        <w:jc w:val="both"/>
        <w:rPr>
          <w:rFonts w:asciiTheme="majorHAnsi" w:hAnsiTheme="majorHAnsi" w:cstheme="majorHAnsi"/>
        </w:rPr>
      </w:pPr>
      <w:r w:rsidRPr="008742DD">
        <w:rPr>
          <w:rFonts w:asciiTheme="majorHAnsi" w:hAnsiTheme="majorHAnsi" w:cstheme="majorHAnsi"/>
        </w:rPr>
        <w:t>Diante de todo exposto, considerando que a modificação apresentada pelo Executivo respeita os princípios da responsabilidade fiscal e visa a otimização dos investimentos públicos, não se identifica óbice para a sua regular tramitação e aprovação.</w:t>
      </w:r>
    </w:p>
    <w:p w:rsidR="00C31C89" w:rsidP="00D677F3">
      <w:pPr>
        <w:pStyle w:val="NormalWeb"/>
        <w:spacing w:after="0" w:afterAutospacing="0"/>
        <w:contextualSpacing/>
        <w:jc w:val="both"/>
        <w:rPr>
          <w:rFonts w:asciiTheme="majorHAnsi" w:hAnsiTheme="majorHAnsi" w:cstheme="majorHAnsi"/>
          <w:b/>
        </w:rPr>
      </w:pPr>
    </w:p>
    <w:p w:rsidR="00E5461E"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 xml:space="preserve">III. Substitutivos, </w:t>
      </w:r>
      <w:r w:rsidR="00524D00">
        <w:rPr>
          <w:rFonts w:asciiTheme="majorHAnsi" w:hAnsiTheme="majorHAnsi" w:cstheme="majorHAnsi"/>
          <w:b/>
        </w:rPr>
        <w:t xml:space="preserve">Emendas </w:t>
      </w:r>
      <w:r w:rsidRPr="00D677F3">
        <w:rPr>
          <w:rFonts w:asciiTheme="majorHAnsi" w:hAnsiTheme="majorHAnsi" w:cstheme="majorHAnsi"/>
          <w:b/>
        </w:rPr>
        <w:t>ou subemendas ao Projeto</w:t>
      </w:r>
    </w:p>
    <w:p w:rsidR="00D677F3" w:rsidRPr="00D677F3" w:rsidP="00D677F3">
      <w:pPr>
        <w:pStyle w:val="NormalWeb"/>
        <w:spacing w:after="0" w:afterAutospacing="0"/>
        <w:contextualSpacing/>
        <w:jc w:val="both"/>
        <w:rPr>
          <w:rFonts w:asciiTheme="majorHAnsi" w:hAnsiTheme="majorHAnsi" w:cstheme="majorHAnsi"/>
          <w:b/>
        </w:rPr>
      </w:pPr>
    </w:p>
    <w:p w:rsidR="00D677F3" w:rsidP="00D677F3">
      <w:pPr>
        <w:pStyle w:val="NormalWeb"/>
        <w:spacing w:after="0" w:afterAutospacing="0"/>
        <w:contextualSpacing/>
        <w:jc w:val="both"/>
        <w:rPr>
          <w:rFonts w:asciiTheme="majorHAnsi" w:hAnsiTheme="majorHAnsi" w:cstheme="majorHAnsi"/>
        </w:rPr>
      </w:pPr>
      <w:r>
        <w:rPr>
          <w:rFonts w:asciiTheme="majorHAnsi" w:hAnsiTheme="majorHAnsi" w:cstheme="majorHAnsi"/>
        </w:rPr>
        <w:tab/>
        <w:t>Esta relato</w:t>
      </w:r>
      <w:r w:rsidR="00E5461E">
        <w:rPr>
          <w:rFonts w:asciiTheme="majorHAnsi" w:hAnsiTheme="majorHAnsi" w:cstheme="majorHAnsi"/>
        </w:rPr>
        <w:t>ria não possui emendas a propor, não observando óbices quanto a continuidade da propositura.</w:t>
      </w:r>
    </w:p>
    <w:p w:rsidR="00E5461E" w:rsidP="00D677F3">
      <w:pPr>
        <w:pStyle w:val="NormalWeb"/>
        <w:spacing w:after="0" w:afterAutospacing="0"/>
        <w:contextualSpacing/>
        <w:jc w:val="both"/>
        <w:rPr>
          <w:rFonts w:asciiTheme="majorHAnsi" w:hAnsiTheme="majorHAnsi" w:cstheme="majorHAnsi"/>
        </w:rPr>
      </w:pPr>
    </w:p>
    <w:p w:rsidR="00E5461E" w:rsidP="00D677F3">
      <w:pPr>
        <w:pStyle w:val="NormalWeb"/>
        <w:spacing w:after="0" w:afterAutospacing="0"/>
        <w:contextualSpacing/>
        <w:jc w:val="both"/>
        <w:rPr>
          <w:rFonts w:asciiTheme="majorHAnsi" w:hAnsiTheme="majorHAnsi" w:cstheme="majorHAnsi"/>
        </w:rPr>
      </w:pPr>
    </w:p>
    <w:p w:rsidR="00E5461E" w:rsidP="00D677F3">
      <w:pPr>
        <w:pStyle w:val="NormalWeb"/>
        <w:spacing w:after="0" w:afterAutospacing="0"/>
        <w:contextualSpacing/>
        <w:jc w:val="both"/>
        <w:rPr>
          <w:rFonts w:asciiTheme="majorHAnsi" w:hAnsiTheme="majorHAnsi" w:cstheme="majorHAnsi"/>
        </w:rPr>
      </w:pPr>
    </w:p>
    <w:p w:rsidR="00E5461E" w:rsidP="00D677F3">
      <w:pPr>
        <w:pStyle w:val="NormalWeb"/>
        <w:spacing w:after="0" w:afterAutospacing="0"/>
        <w:contextualSpacing/>
        <w:jc w:val="both"/>
        <w:rPr>
          <w:rFonts w:asciiTheme="majorHAnsi" w:hAnsiTheme="majorHAnsi" w:cstheme="majorHAnsi"/>
        </w:rPr>
      </w:pPr>
    </w:p>
    <w:p w:rsidR="00E5461E" w:rsidP="00D677F3">
      <w:pPr>
        <w:pStyle w:val="NormalWeb"/>
        <w:spacing w:after="0" w:afterAutospacing="0"/>
        <w:contextualSpacing/>
        <w:jc w:val="both"/>
        <w:rPr>
          <w:rFonts w:asciiTheme="majorHAnsi" w:hAnsiTheme="majorHAnsi" w:cstheme="majorHAnsi"/>
        </w:rPr>
      </w:pPr>
    </w:p>
    <w:p w:rsidR="00D677F3" w:rsidP="00D677F3">
      <w:pPr>
        <w:pStyle w:val="NormalWeb"/>
        <w:spacing w:after="0" w:afterAutospacing="0"/>
        <w:contextualSpacing/>
        <w:jc w:val="both"/>
        <w:rPr>
          <w:rFonts w:asciiTheme="majorHAnsi" w:hAnsiTheme="majorHAnsi" w:cstheme="majorHAnsi"/>
        </w:rPr>
      </w:pPr>
    </w:p>
    <w:p w:rsidR="006B31CF" w:rsidP="00D677F3">
      <w:pPr>
        <w:pStyle w:val="NormalWeb"/>
        <w:spacing w:after="0" w:afterAutospacing="0"/>
        <w:contextualSpacing/>
        <w:jc w:val="both"/>
        <w:rPr>
          <w:rFonts w:asciiTheme="majorHAnsi" w:hAnsiTheme="majorHAnsi" w:cstheme="majorHAnsi"/>
          <w:b/>
        </w:rPr>
      </w:pPr>
      <w:bookmarkStart w:id="0" w:name="_GoBack"/>
      <w:bookmarkEnd w:id="0"/>
      <w:r w:rsidRPr="00D677F3">
        <w:rPr>
          <w:rFonts w:asciiTheme="majorHAnsi" w:hAnsiTheme="majorHAnsi" w:cstheme="majorHAnsi"/>
          <w:b/>
        </w:rPr>
        <w:t>IV. Decisão da Relatora</w:t>
      </w:r>
    </w:p>
    <w:p w:rsidR="00D75C8D" w:rsidP="00D677F3">
      <w:pPr>
        <w:pStyle w:val="NormalWeb"/>
        <w:spacing w:after="0" w:afterAutospacing="0"/>
        <w:contextualSpacing/>
        <w:jc w:val="both"/>
        <w:rPr>
          <w:rStyle w:val="Strong"/>
          <w:rFonts w:asciiTheme="majorHAnsi" w:hAnsiTheme="majorHAnsi" w:cstheme="majorHAnsi"/>
          <w:b w:val="0"/>
        </w:rPr>
      </w:pPr>
    </w:p>
    <w:p w:rsidR="00E5461E"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both"/>
        <w:rPr>
          <w:rFonts w:asciiTheme="majorHAnsi" w:hAnsiTheme="majorHAnsi" w:cstheme="majorHAnsi"/>
        </w:rPr>
      </w:pPr>
      <w:r w:rsidRPr="00D677F3">
        <w:rPr>
          <w:rStyle w:val="Strong"/>
          <w:rFonts w:asciiTheme="majorHAnsi" w:hAnsiTheme="majorHAnsi" w:cstheme="majorHAnsi"/>
          <w:b w:val="0"/>
        </w:rPr>
        <w:t xml:space="preserve">              </w:t>
      </w:r>
      <w:r w:rsidRPr="00D677F3" w:rsidR="006B31CF">
        <w:rPr>
          <w:rFonts w:asciiTheme="majorHAnsi" w:hAnsiTheme="majorHAnsi" w:cstheme="majorHAnsi"/>
        </w:rPr>
        <w:t>Diante de todo exposto, esta Relatoria considera que a presente propositura não apresenta vícios, recebendo parecer FAVORÁVEL.</w:t>
      </w:r>
    </w:p>
    <w:p w:rsidR="00E5461E" w:rsidP="00D677F3">
      <w:pPr>
        <w:pStyle w:val="NormalWeb"/>
        <w:spacing w:after="0" w:afterAutospacing="0"/>
        <w:contextualSpacing/>
        <w:jc w:val="both"/>
        <w:rPr>
          <w:rFonts w:asciiTheme="majorHAnsi" w:hAnsiTheme="majorHAnsi" w:cstheme="majorHAnsi"/>
        </w:rPr>
      </w:pPr>
    </w:p>
    <w:p w:rsidR="003A59B8" w:rsidP="00D677F3">
      <w:pPr>
        <w:pStyle w:val="NormalWeb"/>
        <w:spacing w:after="0" w:afterAutospacing="0"/>
        <w:contextualSpacing/>
        <w:jc w:val="both"/>
        <w:rPr>
          <w:rFonts w:asciiTheme="majorHAnsi" w:hAnsiTheme="majorHAnsi" w:cstheme="majorHAnsi"/>
        </w:rPr>
      </w:pPr>
    </w:p>
    <w:p w:rsidR="0020584A" w:rsidP="00D677F3">
      <w:pPr>
        <w:pStyle w:val="NormalWeb"/>
        <w:spacing w:after="0" w:afterAutospacing="0"/>
        <w:contextualSpacing/>
        <w:jc w:val="center"/>
        <w:rPr>
          <w:rFonts w:asciiTheme="majorHAnsi" w:hAnsiTheme="majorHAnsi" w:cstheme="majorHAnsi"/>
        </w:rPr>
      </w:pPr>
      <w:r>
        <w:rPr>
          <w:rFonts w:asciiTheme="majorHAnsi" w:hAnsiTheme="majorHAnsi" w:cstheme="majorHAnsi"/>
        </w:rPr>
        <w:t>Sala das Comissões, em 17</w:t>
      </w:r>
      <w:r w:rsidR="00D41199">
        <w:rPr>
          <w:rFonts w:asciiTheme="majorHAnsi" w:hAnsiTheme="majorHAnsi" w:cstheme="majorHAnsi"/>
        </w:rPr>
        <w:t xml:space="preserve"> </w:t>
      </w:r>
      <w:r w:rsidR="00637C5F">
        <w:rPr>
          <w:rFonts w:asciiTheme="majorHAnsi" w:hAnsiTheme="majorHAnsi" w:cstheme="majorHAnsi"/>
        </w:rPr>
        <w:t xml:space="preserve">de </w:t>
      </w:r>
      <w:r>
        <w:rPr>
          <w:rFonts w:asciiTheme="majorHAnsi" w:hAnsiTheme="majorHAnsi" w:cstheme="majorHAnsi"/>
        </w:rPr>
        <w:t>março</w:t>
      </w:r>
      <w:r w:rsidRPr="00D677F3" w:rsidR="006B31CF">
        <w:rPr>
          <w:rFonts w:asciiTheme="majorHAnsi" w:hAnsiTheme="majorHAnsi" w:cstheme="majorHAnsi"/>
        </w:rPr>
        <w:t xml:space="preserve"> de 202</w:t>
      </w:r>
      <w:r>
        <w:rPr>
          <w:rFonts w:asciiTheme="majorHAnsi" w:hAnsiTheme="majorHAnsi" w:cstheme="majorHAnsi"/>
        </w:rPr>
        <w:t>6</w:t>
      </w:r>
      <w:r w:rsidRPr="00D677F3" w:rsidR="006B31CF">
        <w:rPr>
          <w:rFonts w:asciiTheme="majorHAnsi" w:hAnsiTheme="majorHAnsi" w:cstheme="majorHAnsi"/>
        </w:rPr>
        <w:t>.</w:t>
      </w:r>
    </w:p>
    <w:p w:rsidR="00D75C8D" w:rsidP="00D677F3">
      <w:pPr>
        <w:pStyle w:val="NormalWeb"/>
        <w:spacing w:after="0" w:afterAutospacing="0"/>
        <w:contextualSpacing/>
        <w:jc w:val="center"/>
        <w:rPr>
          <w:rStyle w:val="Strong"/>
          <w:rFonts w:asciiTheme="majorHAnsi" w:hAnsiTheme="majorHAnsi" w:cstheme="majorHAnsi"/>
        </w:rPr>
      </w:pPr>
    </w:p>
    <w:p w:rsidR="00E5461E" w:rsidRPr="00D677F3" w:rsidP="00D677F3">
      <w:pPr>
        <w:pStyle w:val="NormalWeb"/>
        <w:spacing w:after="0" w:afterAutospacing="0"/>
        <w:contextualSpacing/>
        <w:jc w:val="center"/>
        <w:rPr>
          <w:rStyle w:val="Strong"/>
          <w:rFonts w:asciiTheme="majorHAnsi" w:hAnsiTheme="majorHAnsi" w:cstheme="majorHAnsi"/>
        </w:rPr>
      </w:pPr>
    </w:p>
    <w:p w:rsidR="00D75C8D" w:rsidRPr="00C0742F" w:rsidP="00D677F3">
      <w:pPr>
        <w:pStyle w:val="NormalWeb"/>
        <w:spacing w:after="0" w:afterAutospacing="0"/>
        <w:contextualSpacing/>
        <w:jc w:val="center"/>
        <w:rPr>
          <w:rFonts w:asciiTheme="majorHAnsi" w:hAnsiTheme="majorHAnsi" w:cstheme="majorHAnsi"/>
          <w:i/>
          <w:sz w:val="20"/>
        </w:rPr>
      </w:pPr>
      <w:r w:rsidRPr="00C0742F">
        <w:rPr>
          <w:rFonts w:asciiTheme="majorHAnsi" w:hAnsiTheme="majorHAnsi" w:cstheme="majorHAnsi"/>
          <w:i/>
          <w:sz w:val="20"/>
        </w:rPr>
        <w:t>(</w:t>
      </w:r>
      <w:r w:rsidRPr="00C0742F">
        <w:rPr>
          <w:rFonts w:asciiTheme="majorHAnsi" w:hAnsiTheme="majorHAnsi" w:cstheme="majorHAnsi"/>
          <w:i/>
          <w:sz w:val="20"/>
        </w:rPr>
        <w:t>assinado</w:t>
      </w:r>
      <w:r w:rsidRPr="00C0742F">
        <w:rPr>
          <w:rFonts w:asciiTheme="majorHAnsi" w:hAnsiTheme="majorHAnsi" w:cstheme="majorHAnsi"/>
          <w:i/>
          <w:sz w:val="20"/>
        </w:rPr>
        <w:t xml:space="preserve"> digitalmente)</w:t>
      </w: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20584A" w:rsidRPr="00D677F3" w:rsidP="00D677F3">
      <w:pPr>
        <w:pStyle w:val="NormalWeb"/>
        <w:spacing w:after="0" w:afterAutospacing="0"/>
        <w:contextualSpacing/>
        <w:jc w:val="center"/>
        <w:rPr>
          <w:rStyle w:val="Strong"/>
          <w:rFonts w:asciiTheme="majorHAnsi" w:hAnsiTheme="majorHAnsi" w:cstheme="majorHAnsi"/>
        </w:rPr>
      </w:pPr>
      <w:r w:rsidRPr="00D677F3">
        <w:rPr>
          <w:rFonts w:asciiTheme="majorHAnsi" w:hAnsiTheme="majorHAnsi" w:cstheme="majorHAnsi"/>
          <w:b/>
        </w:rPr>
        <w:t>Relatora</w:t>
      </w:r>
    </w:p>
    <w:p w:rsidR="0020584A" w:rsidRPr="00D677F3" w:rsidP="00D677F3">
      <w:pPr>
        <w:pStyle w:val="NormalWeb"/>
        <w:spacing w:after="0" w:afterAutospacing="0"/>
        <w:contextualSpacing/>
        <w:jc w:val="both"/>
        <w:rPr>
          <w:rStyle w:val="Strong"/>
          <w:rFonts w:asciiTheme="majorHAnsi" w:hAnsiTheme="majorHAnsi" w:cstheme="majorHAnsi"/>
        </w:rPr>
      </w:pPr>
    </w:p>
    <w:p w:rsidR="00D677F3" w:rsidP="00D677F3">
      <w:pPr>
        <w:pStyle w:val="NormalWeb"/>
        <w:spacing w:after="0" w:afterAutospacing="0"/>
        <w:contextualSpacing/>
        <w:jc w:val="both"/>
        <w:rPr>
          <w:rStyle w:val="Strong"/>
          <w:rFonts w:asciiTheme="majorHAnsi" w:hAnsiTheme="majorHAnsi" w:cstheme="majorHAnsi"/>
        </w:rPr>
      </w:pPr>
    </w:p>
    <w:p w:rsidR="003A59B8">
      <w:pPr>
        <w:rPr>
          <w:rStyle w:val="Strong"/>
          <w:rFonts w:asciiTheme="majorHAnsi" w:hAnsiTheme="majorHAnsi" w:cstheme="majorHAnsi"/>
          <w:sz w:val="24"/>
          <w:szCs w:val="24"/>
        </w:rPr>
      </w:pPr>
      <w:r>
        <w:rPr>
          <w:rStyle w:val="Strong"/>
          <w:rFonts w:asciiTheme="majorHAnsi" w:hAnsiTheme="majorHAnsi" w:cstheme="majorHAnsi"/>
        </w:rPr>
        <w:br w:type="page"/>
      </w:r>
    </w:p>
    <w:p w:rsidR="003A59B8" w:rsidP="00D677F3">
      <w:pPr>
        <w:pStyle w:val="NormalWeb"/>
        <w:spacing w:after="0" w:afterAutospacing="0"/>
        <w:contextualSpacing/>
        <w:jc w:val="both"/>
        <w:rPr>
          <w:rStyle w:val="Strong"/>
          <w:rFonts w:asciiTheme="majorHAnsi" w:hAnsiTheme="majorHAnsi" w:cstheme="majorHAnsi"/>
        </w:rPr>
      </w:pPr>
    </w:p>
    <w:p w:rsidR="003A59B8" w:rsidRPr="00D677F3" w:rsidP="00D677F3">
      <w:pPr>
        <w:pStyle w:val="NormalWeb"/>
        <w:spacing w:after="0" w:afterAutospacing="0"/>
        <w:contextualSpacing/>
        <w:jc w:val="both"/>
        <w:rPr>
          <w:rStyle w:val="Strong"/>
          <w:rFonts w:asciiTheme="majorHAnsi" w:hAnsiTheme="majorHAnsi" w:cstheme="majorHAnsi"/>
        </w:rPr>
      </w:pPr>
    </w:p>
    <w:p w:rsidR="00D75C8D" w:rsidRPr="00CD6830" w:rsidP="00895599">
      <w:pPr>
        <w:jc w:val="center"/>
        <w:rPr>
          <w:rFonts w:asciiTheme="majorHAnsi" w:hAnsiTheme="majorHAnsi" w:cstheme="majorHAnsi"/>
          <w:b/>
          <w:bCs/>
          <w:sz w:val="24"/>
          <w:szCs w:val="24"/>
        </w:rPr>
      </w:pPr>
      <w:r>
        <w:rPr>
          <w:rFonts w:asciiTheme="majorHAnsi" w:hAnsiTheme="majorHAnsi" w:cstheme="majorHAnsi"/>
          <w:b/>
          <w:sz w:val="24"/>
          <w:szCs w:val="24"/>
        </w:rPr>
        <w:t>P</w:t>
      </w:r>
      <w:r w:rsidRPr="008E6358" w:rsidR="00472595">
        <w:rPr>
          <w:rFonts w:asciiTheme="majorHAnsi" w:hAnsiTheme="majorHAnsi" w:cstheme="majorHAnsi"/>
          <w:b/>
          <w:sz w:val="24"/>
          <w:szCs w:val="24"/>
        </w:rPr>
        <w:t>ARECER FAVORÁVEL DA COMISSÃO DE FINANÇAS E ORÇAMENTO.</w:t>
      </w:r>
    </w:p>
    <w:p w:rsidR="0020584A"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D677F3">
        <w:rPr>
          <w:rFonts w:asciiTheme="majorHAnsi" w:hAnsiTheme="majorHAnsi" w:cstheme="majorHAnsi"/>
          <w:b/>
        </w:rPr>
        <w:t>PARECER FAVORÁVEL.</w:t>
      </w:r>
    </w:p>
    <w:p w:rsidR="00D75C8D" w:rsidRPr="00D677F3" w:rsidP="00D677F3">
      <w:pPr>
        <w:pStyle w:val="NormalWeb"/>
        <w:spacing w:after="0" w:afterAutospacing="0"/>
        <w:contextualSpacing/>
        <w:jc w:val="both"/>
        <w:rPr>
          <w:rFonts w:asciiTheme="majorHAnsi" w:hAnsiTheme="majorHAnsi" w:cstheme="majorHAnsi"/>
          <w:b/>
        </w:rPr>
      </w:pPr>
    </w:p>
    <w:p w:rsidR="006B31CF" w:rsidRPr="00D677F3" w:rsidP="00D677F3">
      <w:pPr>
        <w:pStyle w:val="NormalWeb"/>
        <w:spacing w:after="0" w:afterAutospacing="0"/>
        <w:contextualSpacing/>
        <w:jc w:val="both"/>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6B31CF" w:rsidP="00D677F3">
      <w:pPr>
        <w:pStyle w:val="NormalWeb"/>
        <w:spacing w:after="0" w:afterAutospacing="0"/>
        <w:contextualSpacing/>
        <w:jc w:val="center"/>
        <w:rPr>
          <w:rFonts w:asciiTheme="majorHAnsi" w:hAnsiTheme="majorHAnsi" w:cstheme="majorHAnsi"/>
        </w:rPr>
      </w:pPr>
      <w:r w:rsidRPr="00D677F3">
        <w:rPr>
          <w:rFonts w:asciiTheme="majorHAnsi" w:hAnsiTheme="majorHAnsi" w:cstheme="majorHAnsi"/>
        </w:rPr>
        <w:t>Sala das Co</w:t>
      </w:r>
      <w:r w:rsidR="00637C5F">
        <w:rPr>
          <w:rFonts w:asciiTheme="majorHAnsi" w:hAnsiTheme="majorHAnsi" w:cstheme="majorHAnsi"/>
        </w:rPr>
        <w:t xml:space="preserve">missões, em </w:t>
      </w:r>
      <w:r w:rsidR="00E5461E">
        <w:rPr>
          <w:rFonts w:asciiTheme="majorHAnsi" w:hAnsiTheme="majorHAnsi" w:cstheme="majorHAnsi"/>
        </w:rPr>
        <w:t>17</w:t>
      </w:r>
      <w:r w:rsidR="00637C5F">
        <w:rPr>
          <w:rFonts w:asciiTheme="majorHAnsi" w:hAnsiTheme="majorHAnsi" w:cstheme="majorHAnsi"/>
        </w:rPr>
        <w:t xml:space="preserve"> de </w:t>
      </w:r>
      <w:r w:rsidR="00E5461E">
        <w:rPr>
          <w:rFonts w:asciiTheme="majorHAnsi" w:hAnsiTheme="majorHAnsi" w:cstheme="majorHAnsi"/>
        </w:rPr>
        <w:t>março</w:t>
      </w:r>
      <w:r w:rsidRPr="00D677F3">
        <w:rPr>
          <w:rFonts w:asciiTheme="majorHAnsi" w:hAnsiTheme="majorHAnsi" w:cstheme="majorHAnsi"/>
        </w:rPr>
        <w:t xml:space="preserve"> de 202</w:t>
      </w:r>
      <w:r w:rsidR="00E5461E">
        <w:rPr>
          <w:rFonts w:asciiTheme="majorHAnsi" w:hAnsiTheme="majorHAnsi" w:cstheme="majorHAnsi"/>
        </w:rPr>
        <w:t>6</w:t>
      </w:r>
      <w:r w:rsidRPr="00D677F3">
        <w:rPr>
          <w:rFonts w:asciiTheme="majorHAnsi" w:hAnsiTheme="majorHAnsi" w:cstheme="majorHAnsi"/>
        </w:rPr>
        <w:t>.</w:t>
      </w:r>
    </w:p>
    <w:p w:rsidR="00D75C8D" w:rsidRPr="00D677F3" w:rsidP="00D677F3">
      <w:pPr>
        <w:pStyle w:val="NormalWeb"/>
        <w:spacing w:after="0" w:afterAutospacing="0"/>
        <w:contextualSpacing/>
        <w:jc w:val="center"/>
        <w:rPr>
          <w:rStyle w:val="Strong"/>
          <w:rFonts w:asciiTheme="majorHAnsi" w:hAnsiTheme="majorHAnsi" w:cstheme="majorHAnsi"/>
          <w:b w:val="0"/>
        </w:rPr>
      </w:pPr>
    </w:p>
    <w:p w:rsidR="0020584A" w:rsidRPr="00D677F3" w:rsidP="00D677F3">
      <w:pPr>
        <w:pStyle w:val="NormalWeb"/>
        <w:spacing w:after="0" w:afterAutospacing="0"/>
        <w:contextualSpacing/>
        <w:jc w:val="both"/>
        <w:rPr>
          <w:rStyle w:val="Strong"/>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6B31CF" w:rsidP="00D677F3">
      <w:pPr>
        <w:pStyle w:val="NormalWeb"/>
        <w:spacing w:after="0" w:afterAutospacing="0"/>
        <w:contextualSpacing/>
        <w:jc w:val="center"/>
        <w:rPr>
          <w:rFonts w:asciiTheme="majorHAnsi" w:hAnsiTheme="majorHAnsi" w:cstheme="majorHAnsi"/>
          <w:b/>
          <w:u w:val="single"/>
        </w:rPr>
      </w:pPr>
      <w:r w:rsidRPr="00D677F3">
        <w:rPr>
          <w:rFonts w:asciiTheme="majorHAnsi" w:hAnsiTheme="majorHAnsi" w:cstheme="majorHAnsi"/>
          <w:b/>
          <w:u w:val="single"/>
        </w:rPr>
        <w:t>COMISSÃO DE FINANÇAS E ORÇAMENTO</w:t>
      </w:r>
    </w:p>
    <w:p w:rsidR="00525ABC" w:rsidRPr="00D677F3" w:rsidP="00D677F3">
      <w:pPr>
        <w:pStyle w:val="NormalWeb"/>
        <w:spacing w:after="0" w:afterAutospacing="0"/>
        <w:contextualSpacing/>
        <w:jc w:val="center"/>
        <w:rPr>
          <w:rFonts w:asciiTheme="majorHAnsi" w:hAnsiTheme="majorHAnsi" w:cstheme="majorHAnsi"/>
          <w:b/>
          <w:u w:val="single"/>
        </w:rPr>
      </w:pPr>
    </w:p>
    <w:p w:rsidR="006B31CF"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Presidente/Relatora</w:t>
      </w:r>
    </w:p>
    <w:p w:rsidR="00D75C8D" w:rsidP="00D677F3">
      <w:pPr>
        <w:pStyle w:val="NormalWeb"/>
        <w:spacing w:after="0" w:afterAutospacing="0"/>
        <w:contextualSpacing/>
        <w:jc w:val="center"/>
        <w:rPr>
          <w:rFonts w:asciiTheme="majorHAnsi" w:hAnsiTheme="majorHAnsi" w:cstheme="majorHAnsi"/>
          <w:b/>
        </w:rPr>
      </w:pPr>
    </w:p>
    <w:p w:rsidR="00525ABC"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 MÁRCIO DENER CORAN</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Vice-Presidente</w:t>
      </w:r>
    </w:p>
    <w:p w:rsidR="00D75C8D" w:rsidP="00D677F3">
      <w:pPr>
        <w:pStyle w:val="NormalWeb"/>
        <w:spacing w:after="0" w:afterAutospacing="0"/>
        <w:contextualSpacing/>
        <w:jc w:val="center"/>
        <w:rPr>
          <w:rFonts w:asciiTheme="majorHAnsi" w:hAnsiTheme="majorHAnsi" w:cstheme="majorHAnsi"/>
          <w:b/>
        </w:rPr>
      </w:pPr>
    </w:p>
    <w:p w:rsidR="00525ABC"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MARCOS PAULO CEGATTI</w:t>
      </w:r>
    </w:p>
    <w:p w:rsidR="006B31CF" w:rsidRPr="00D677F3" w:rsidP="00D677F3">
      <w:pPr>
        <w:pStyle w:val="NormalWeb"/>
        <w:spacing w:after="0" w:afterAutospacing="0"/>
        <w:contextualSpacing/>
        <w:jc w:val="center"/>
        <w:rPr>
          <w:rStyle w:val="Strong"/>
          <w:rFonts w:asciiTheme="majorHAnsi" w:hAnsiTheme="majorHAnsi" w:cstheme="majorHAnsi"/>
          <w:b w:val="0"/>
        </w:rPr>
      </w:pPr>
      <w:r w:rsidRPr="00D677F3">
        <w:rPr>
          <w:rFonts w:asciiTheme="majorHAnsi" w:hAnsiTheme="majorHAnsi" w:cstheme="majorHAnsi"/>
          <w:b/>
        </w:rPr>
        <w:t>Membro</w:t>
      </w: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F13148" w:rsidRPr="00D677F3" w:rsidP="00D677F3">
      <w:pPr>
        <w:pStyle w:val="NormalWeb"/>
        <w:spacing w:after="0" w:afterAutospacing="0"/>
        <w:contextualSpacing/>
        <w:jc w:val="both"/>
        <w:rPr>
          <w:rFonts w:asciiTheme="majorHAnsi" w:hAnsiTheme="majorHAnsi" w:cstheme="majorHAnsi"/>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851">
    <w:pPr>
      <w:pBdr>
        <w:top w:val="nil"/>
        <w:left w:val="nil"/>
        <w:bottom w:val="nil"/>
        <w:right w:val="nil"/>
        <w:between w:val="nil"/>
      </w:pBdr>
      <w:tabs>
        <w:tab w:val="center" w:pos="4419"/>
        <w:tab w:val="right" w:pos="8838"/>
      </w:tabs>
      <w:jc w:val="center"/>
      <w:rPr>
        <w:b/>
        <w:bCs/>
        <w:color w:val="000000"/>
        <w:sz w:val="18"/>
        <w:szCs w:val="18"/>
      </w:rPr>
    </w:pPr>
  </w:p>
  <w:p w:rsidR="00B06851">
    <w:pPr>
      <w:pBdr>
        <w:top w:val="nil"/>
        <w:left w:val="nil"/>
        <w:bottom w:val="nil"/>
        <w:right w:val="nil"/>
        <w:between w:val="nil"/>
      </w:pBdr>
      <w:tabs>
        <w:tab w:val="center" w:pos="4419"/>
        <w:tab w:val="right" w:pos="8838"/>
      </w:tabs>
      <w:jc w:val="center"/>
      <w:rPr>
        <w:b/>
        <w:bCs/>
        <w:color w:val="000000"/>
        <w:sz w:val="18"/>
        <w:szCs w:val="18"/>
      </w:rPr>
    </w:pPr>
  </w:p>
  <w:p w:rsidR="00B06851"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85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B06851">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851" w:rsidP="00F81655">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B06851"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B06851"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B32B7E"/>
    <w:multiLevelType w:val="multilevel"/>
    <w:tmpl w:val="84F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4258D4"/>
    <w:multiLevelType w:val="hybridMultilevel"/>
    <w:tmpl w:val="204C4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3D55BC"/>
    <w:multiLevelType w:val="hybridMultilevel"/>
    <w:tmpl w:val="AF86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643DDB"/>
    <w:multiLevelType w:val="hybridMultilevel"/>
    <w:tmpl w:val="913AF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
  </w:num>
  <w:num w:numId="4">
    <w:abstractNumId w:val="10"/>
  </w:num>
  <w:num w:numId="5">
    <w:abstractNumId w:val="22"/>
  </w:num>
  <w:num w:numId="6">
    <w:abstractNumId w:val="25"/>
  </w:num>
  <w:num w:numId="7">
    <w:abstractNumId w:val="4"/>
  </w:num>
  <w:num w:numId="8">
    <w:abstractNumId w:val="12"/>
  </w:num>
  <w:num w:numId="9">
    <w:abstractNumId w:val="9"/>
  </w:num>
  <w:num w:numId="10">
    <w:abstractNumId w:val="8"/>
  </w:num>
  <w:num w:numId="11">
    <w:abstractNumId w:val="6"/>
  </w:num>
  <w:num w:numId="12">
    <w:abstractNumId w:val="16"/>
  </w:num>
  <w:num w:numId="13">
    <w:abstractNumId w:val="0"/>
  </w:num>
  <w:num w:numId="14">
    <w:abstractNumId w:val="3"/>
  </w:num>
  <w:num w:numId="15">
    <w:abstractNumId w:val="21"/>
  </w:num>
  <w:num w:numId="16">
    <w:abstractNumId w:val="13"/>
  </w:num>
  <w:num w:numId="17">
    <w:abstractNumId w:val="20"/>
  </w:num>
  <w:num w:numId="18">
    <w:abstractNumId w:val="5"/>
  </w:num>
  <w:num w:numId="19">
    <w:abstractNumId w:val="2"/>
  </w:num>
  <w:num w:numId="20">
    <w:abstractNumId w:val="19"/>
  </w:num>
  <w:num w:numId="21">
    <w:abstractNumId w:val="17"/>
  </w:num>
  <w:num w:numId="22">
    <w:abstractNumId w:val="24"/>
  </w:num>
  <w:num w:numId="23">
    <w:abstractNumId w:val="7"/>
  </w:num>
  <w:num w:numId="24">
    <w:abstractNumId w:val="14"/>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27D0F"/>
    <w:rsid w:val="0003626B"/>
    <w:rsid w:val="00037531"/>
    <w:rsid w:val="00041A2D"/>
    <w:rsid w:val="00057A9B"/>
    <w:rsid w:val="000622A6"/>
    <w:rsid w:val="00064FC8"/>
    <w:rsid w:val="00070FE7"/>
    <w:rsid w:val="00071EF2"/>
    <w:rsid w:val="00072EB5"/>
    <w:rsid w:val="0008150E"/>
    <w:rsid w:val="00092E53"/>
    <w:rsid w:val="00096F36"/>
    <w:rsid w:val="000A1BE0"/>
    <w:rsid w:val="000A732D"/>
    <w:rsid w:val="000B1C6D"/>
    <w:rsid w:val="000B21BF"/>
    <w:rsid w:val="000C4A24"/>
    <w:rsid w:val="000D376F"/>
    <w:rsid w:val="000D498E"/>
    <w:rsid w:val="000E58E9"/>
    <w:rsid w:val="000F4933"/>
    <w:rsid w:val="00126AE5"/>
    <w:rsid w:val="00127DAB"/>
    <w:rsid w:val="001430B8"/>
    <w:rsid w:val="0015590E"/>
    <w:rsid w:val="00181506"/>
    <w:rsid w:val="00187FC6"/>
    <w:rsid w:val="001902E0"/>
    <w:rsid w:val="00192536"/>
    <w:rsid w:val="001949A5"/>
    <w:rsid w:val="001A3CE4"/>
    <w:rsid w:val="001B7303"/>
    <w:rsid w:val="0020165D"/>
    <w:rsid w:val="0020584A"/>
    <w:rsid w:val="00213987"/>
    <w:rsid w:val="00227E2C"/>
    <w:rsid w:val="00234376"/>
    <w:rsid w:val="00297379"/>
    <w:rsid w:val="002A2BD3"/>
    <w:rsid w:val="002A648D"/>
    <w:rsid w:val="002B5A45"/>
    <w:rsid w:val="002B71AC"/>
    <w:rsid w:val="002C0A99"/>
    <w:rsid w:val="002E3052"/>
    <w:rsid w:val="002F3157"/>
    <w:rsid w:val="002F589A"/>
    <w:rsid w:val="003121C8"/>
    <w:rsid w:val="00314B47"/>
    <w:rsid w:val="003200AF"/>
    <w:rsid w:val="00322469"/>
    <w:rsid w:val="00346786"/>
    <w:rsid w:val="00371A69"/>
    <w:rsid w:val="0038129E"/>
    <w:rsid w:val="00381C00"/>
    <w:rsid w:val="003A2ADE"/>
    <w:rsid w:val="003A5737"/>
    <w:rsid w:val="003A59B8"/>
    <w:rsid w:val="003A796B"/>
    <w:rsid w:val="003B1A59"/>
    <w:rsid w:val="003C6BCB"/>
    <w:rsid w:val="003D250F"/>
    <w:rsid w:val="003D6D21"/>
    <w:rsid w:val="003E5A51"/>
    <w:rsid w:val="003E60A2"/>
    <w:rsid w:val="003F0B47"/>
    <w:rsid w:val="003F64A5"/>
    <w:rsid w:val="00405098"/>
    <w:rsid w:val="00423EBB"/>
    <w:rsid w:val="00441DC5"/>
    <w:rsid w:val="004427D7"/>
    <w:rsid w:val="00446FA1"/>
    <w:rsid w:val="004557B8"/>
    <w:rsid w:val="00456770"/>
    <w:rsid w:val="00472595"/>
    <w:rsid w:val="004755B6"/>
    <w:rsid w:val="00493896"/>
    <w:rsid w:val="004A4450"/>
    <w:rsid w:val="004B3FD2"/>
    <w:rsid w:val="004B6FDF"/>
    <w:rsid w:val="004C0017"/>
    <w:rsid w:val="004C076A"/>
    <w:rsid w:val="004D46DA"/>
    <w:rsid w:val="004E6092"/>
    <w:rsid w:val="00500EA1"/>
    <w:rsid w:val="005242B1"/>
    <w:rsid w:val="00524D00"/>
    <w:rsid w:val="00525ABC"/>
    <w:rsid w:val="00543E03"/>
    <w:rsid w:val="005515A3"/>
    <w:rsid w:val="005559D9"/>
    <w:rsid w:val="0055728D"/>
    <w:rsid w:val="0057515A"/>
    <w:rsid w:val="0059215B"/>
    <w:rsid w:val="00596023"/>
    <w:rsid w:val="005A235E"/>
    <w:rsid w:val="005B27A9"/>
    <w:rsid w:val="005B5D7B"/>
    <w:rsid w:val="005B766F"/>
    <w:rsid w:val="005D21C6"/>
    <w:rsid w:val="005E491E"/>
    <w:rsid w:val="005F2654"/>
    <w:rsid w:val="005F4E55"/>
    <w:rsid w:val="005F54DA"/>
    <w:rsid w:val="00607589"/>
    <w:rsid w:val="006134E3"/>
    <w:rsid w:val="00613747"/>
    <w:rsid w:val="00620B91"/>
    <w:rsid w:val="00622738"/>
    <w:rsid w:val="006231B8"/>
    <w:rsid w:val="006231BE"/>
    <w:rsid w:val="00627088"/>
    <w:rsid w:val="00637C5F"/>
    <w:rsid w:val="00670C69"/>
    <w:rsid w:val="006834FE"/>
    <w:rsid w:val="0069403A"/>
    <w:rsid w:val="00697874"/>
    <w:rsid w:val="006A54A9"/>
    <w:rsid w:val="006A762A"/>
    <w:rsid w:val="006B31CF"/>
    <w:rsid w:val="006D1946"/>
    <w:rsid w:val="006E14A1"/>
    <w:rsid w:val="006F48DD"/>
    <w:rsid w:val="007038AD"/>
    <w:rsid w:val="00716314"/>
    <w:rsid w:val="00741F3B"/>
    <w:rsid w:val="00753ABE"/>
    <w:rsid w:val="007556D8"/>
    <w:rsid w:val="00766595"/>
    <w:rsid w:val="0078178E"/>
    <w:rsid w:val="00783794"/>
    <w:rsid w:val="00784CD4"/>
    <w:rsid w:val="00785E1B"/>
    <w:rsid w:val="007911EF"/>
    <w:rsid w:val="007A08D1"/>
    <w:rsid w:val="007B6058"/>
    <w:rsid w:val="007C6029"/>
    <w:rsid w:val="007C7AD8"/>
    <w:rsid w:val="007E1160"/>
    <w:rsid w:val="00804434"/>
    <w:rsid w:val="0081335D"/>
    <w:rsid w:val="00842408"/>
    <w:rsid w:val="00855DD2"/>
    <w:rsid w:val="008641BE"/>
    <w:rsid w:val="00864928"/>
    <w:rsid w:val="0086613A"/>
    <w:rsid w:val="008677CB"/>
    <w:rsid w:val="008742DD"/>
    <w:rsid w:val="00881E60"/>
    <w:rsid w:val="0088465F"/>
    <w:rsid w:val="008905C2"/>
    <w:rsid w:val="00895599"/>
    <w:rsid w:val="008956B8"/>
    <w:rsid w:val="008A537A"/>
    <w:rsid w:val="008C08C5"/>
    <w:rsid w:val="008C125D"/>
    <w:rsid w:val="008C4AA2"/>
    <w:rsid w:val="008E6358"/>
    <w:rsid w:val="008F67DA"/>
    <w:rsid w:val="00902EE1"/>
    <w:rsid w:val="009048A2"/>
    <w:rsid w:val="00904ADF"/>
    <w:rsid w:val="00914ADC"/>
    <w:rsid w:val="00920A3F"/>
    <w:rsid w:val="00925E1A"/>
    <w:rsid w:val="00957DEF"/>
    <w:rsid w:val="00977D0F"/>
    <w:rsid w:val="0098102A"/>
    <w:rsid w:val="00983B49"/>
    <w:rsid w:val="009D4F58"/>
    <w:rsid w:val="009D56B8"/>
    <w:rsid w:val="009D6B7C"/>
    <w:rsid w:val="009E31A0"/>
    <w:rsid w:val="00A00E3E"/>
    <w:rsid w:val="00A12DD9"/>
    <w:rsid w:val="00A14E63"/>
    <w:rsid w:val="00A164DC"/>
    <w:rsid w:val="00A17FE4"/>
    <w:rsid w:val="00A23604"/>
    <w:rsid w:val="00A2712E"/>
    <w:rsid w:val="00A27446"/>
    <w:rsid w:val="00A52713"/>
    <w:rsid w:val="00A55914"/>
    <w:rsid w:val="00A672C0"/>
    <w:rsid w:val="00A92E38"/>
    <w:rsid w:val="00AD2770"/>
    <w:rsid w:val="00AE4353"/>
    <w:rsid w:val="00AE5858"/>
    <w:rsid w:val="00AE6D13"/>
    <w:rsid w:val="00AF0C05"/>
    <w:rsid w:val="00AF3296"/>
    <w:rsid w:val="00AF4193"/>
    <w:rsid w:val="00AF4AC7"/>
    <w:rsid w:val="00B06851"/>
    <w:rsid w:val="00B12415"/>
    <w:rsid w:val="00B30708"/>
    <w:rsid w:val="00B33FF5"/>
    <w:rsid w:val="00B45642"/>
    <w:rsid w:val="00B57090"/>
    <w:rsid w:val="00BA48C7"/>
    <w:rsid w:val="00BA67D8"/>
    <w:rsid w:val="00BD4115"/>
    <w:rsid w:val="00BE2A4B"/>
    <w:rsid w:val="00BE41D6"/>
    <w:rsid w:val="00BE68FF"/>
    <w:rsid w:val="00BE6938"/>
    <w:rsid w:val="00BF2A6F"/>
    <w:rsid w:val="00BF47AD"/>
    <w:rsid w:val="00C00566"/>
    <w:rsid w:val="00C0742F"/>
    <w:rsid w:val="00C076DE"/>
    <w:rsid w:val="00C10154"/>
    <w:rsid w:val="00C2458E"/>
    <w:rsid w:val="00C3120C"/>
    <w:rsid w:val="00C31C89"/>
    <w:rsid w:val="00C56DF7"/>
    <w:rsid w:val="00C74E3F"/>
    <w:rsid w:val="00C75973"/>
    <w:rsid w:val="00CA4349"/>
    <w:rsid w:val="00CC230E"/>
    <w:rsid w:val="00CC3E72"/>
    <w:rsid w:val="00CD6830"/>
    <w:rsid w:val="00CF288D"/>
    <w:rsid w:val="00D233F3"/>
    <w:rsid w:val="00D33D19"/>
    <w:rsid w:val="00D41199"/>
    <w:rsid w:val="00D47DCE"/>
    <w:rsid w:val="00D52DAE"/>
    <w:rsid w:val="00D530CC"/>
    <w:rsid w:val="00D543E6"/>
    <w:rsid w:val="00D635A7"/>
    <w:rsid w:val="00D66197"/>
    <w:rsid w:val="00D677F3"/>
    <w:rsid w:val="00D735E2"/>
    <w:rsid w:val="00D75C8D"/>
    <w:rsid w:val="00D80A2E"/>
    <w:rsid w:val="00D81BDB"/>
    <w:rsid w:val="00D85ED2"/>
    <w:rsid w:val="00D9258F"/>
    <w:rsid w:val="00DA7AB4"/>
    <w:rsid w:val="00DC29E1"/>
    <w:rsid w:val="00DC2FDF"/>
    <w:rsid w:val="00DC32F0"/>
    <w:rsid w:val="00DD7EAE"/>
    <w:rsid w:val="00DE2A9A"/>
    <w:rsid w:val="00DF605F"/>
    <w:rsid w:val="00E11ECC"/>
    <w:rsid w:val="00E3543A"/>
    <w:rsid w:val="00E3658D"/>
    <w:rsid w:val="00E41ADD"/>
    <w:rsid w:val="00E471F3"/>
    <w:rsid w:val="00E5461E"/>
    <w:rsid w:val="00E57571"/>
    <w:rsid w:val="00E57668"/>
    <w:rsid w:val="00E7438B"/>
    <w:rsid w:val="00E86C91"/>
    <w:rsid w:val="00E978F5"/>
    <w:rsid w:val="00EA0447"/>
    <w:rsid w:val="00EA375D"/>
    <w:rsid w:val="00EA4E83"/>
    <w:rsid w:val="00EB1570"/>
    <w:rsid w:val="00EB3C9A"/>
    <w:rsid w:val="00EB5DDD"/>
    <w:rsid w:val="00EC5677"/>
    <w:rsid w:val="00ED7D93"/>
    <w:rsid w:val="00EE457C"/>
    <w:rsid w:val="00EF4DE4"/>
    <w:rsid w:val="00EF630E"/>
    <w:rsid w:val="00F00F78"/>
    <w:rsid w:val="00F10F57"/>
    <w:rsid w:val="00F13148"/>
    <w:rsid w:val="00F1632A"/>
    <w:rsid w:val="00F21F60"/>
    <w:rsid w:val="00F304D4"/>
    <w:rsid w:val="00F42F8D"/>
    <w:rsid w:val="00F52EC1"/>
    <w:rsid w:val="00F55E24"/>
    <w:rsid w:val="00F6470D"/>
    <w:rsid w:val="00F660F1"/>
    <w:rsid w:val="00F733EC"/>
    <w:rsid w:val="00F74441"/>
    <w:rsid w:val="00F81655"/>
    <w:rsid w:val="00F83282"/>
    <w:rsid w:val="00F91A1F"/>
    <w:rsid w:val="00F921DB"/>
    <w:rsid w:val="00FA65BC"/>
    <w:rsid w:val="00FB12A6"/>
    <w:rsid w:val="00FB1D05"/>
    <w:rsid w:val="00FC75D4"/>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40EB3-6551-473C-B232-CFAC5F49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4573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3</cp:revision>
  <cp:lastPrinted>2025-02-18T14:53:00Z</cp:lastPrinted>
  <dcterms:created xsi:type="dcterms:W3CDTF">2026-03-17T14:20:00Z</dcterms:created>
  <dcterms:modified xsi:type="dcterms:W3CDTF">2026-03-17T14:20:00Z</dcterms:modified>
</cp:coreProperties>
</file>