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P="00D706B5" w14:paraId="2298CC55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>
        <w:rPr>
          <w:rFonts w:ascii="Courier New" w:hAnsi="Courier New" w:cs="Courier New"/>
          <w:kern w:val="3"/>
          <w:sz w:val="24"/>
          <w:szCs w:val="24"/>
        </w:rPr>
        <w:t>Indicação Nº 209/2026</w:t>
      </w:r>
      <w:r>
        <w:rPr>
          <w:rFonts w:ascii="Courier New" w:hAnsi="Courier New" w:cs="Courier New"/>
          <w:kern w:val="3"/>
          <w:sz w:val="24"/>
          <w:szCs w:val="24"/>
        </w:rPr>
        <w:t>Indicação Nº 209/2026</w:t>
      </w:r>
    </w:p>
    <w:p w:rsidR="00564B9E" w:rsidRPr="000E658D" w:rsidP="00D706B5" w14:paraId="764BE81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FF2A0C" w:rsidRPr="000E658D" w:rsidP="00D706B5" w14:paraId="3AB1D17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E658D" w:rsidP="00031FEB" w14:paraId="5AE38F5A" w14:textId="27409EA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EMENTA: INDICO AO EXMO. SR. PREFEITO MUNICIPAL PAULO DE OLIVEIRA E SILVA QUE, POR IN</w:t>
      </w:r>
      <w:r w:rsidRPr="000E658D" w:rsidR="00537FEA">
        <w:rPr>
          <w:rFonts w:ascii="Courier New" w:hAnsi="Courier New" w:cs="Courier New"/>
          <w:b/>
          <w:kern w:val="3"/>
          <w:sz w:val="24"/>
          <w:szCs w:val="24"/>
        </w:rPr>
        <w:t xml:space="preserve">TERMÉDIO DA </w:t>
      </w:r>
      <w:r w:rsidRPr="000E658D" w:rsidR="008E2705">
        <w:rPr>
          <w:rFonts w:ascii="Courier New" w:hAnsi="Courier New" w:cs="Courier New"/>
          <w:b/>
          <w:kern w:val="3"/>
          <w:sz w:val="24"/>
          <w:szCs w:val="24"/>
        </w:rPr>
        <w:t xml:space="preserve">SECRETARIA </w:t>
      </w:r>
      <w:r w:rsidR="00622838">
        <w:rPr>
          <w:rFonts w:ascii="Courier New" w:hAnsi="Courier New" w:cs="Courier New"/>
          <w:b/>
          <w:kern w:val="3"/>
          <w:sz w:val="24"/>
          <w:szCs w:val="24"/>
        </w:rPr>
        <w:t>DE MOBILIDADE URBANA</w:t>
      </w:r>
      <w:r w:rsidRPr="000E658D" w:rsidR="00031FEB">
        <w:rPr>
          <w:rFonts w:ascii="Courier New" w:hAnsi="Courier New" w:cs="Courier New"/>
          <w:b/>
          <w:kern w:val="3"/>
          <w:sz w:val="24"/>
          <w:szCs w:val="24"/>
        </w:rPr>
        <w:t>, EM ATENDIMENTO AO APELO DA POPULAÇÃO,</w:t>
      </w:r>
      <w:r w:rsidR="00031FEB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031FEB" w:rsidR="00031FEB">
        <w:rPr>
          <w:rFonts w:ascii="Courier New" w:hAnsi="Courier New" w:cs="Courier New"/>
          <w:b/>
          <w:kern w:val="3"/>
          <w:sz w:val="24"/>
          <w:szCs w:val="24"/>
        </w:rPr>
        <w:t>ESTUDOS</w:t>
      </w:r>
      <w:r w:rsidR="00031FEB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031FEB" w:rsidR="00031FEB">
        <w:rPr>
          <w:rFonts w:ascii="Courier New" w:hAnsi="Courier New" w:cs="Courier New"/>
          <w:b/>
          <w:kern w:val="3"/>
          <w:sz w:val="24"/>
          <w:szCs w:val="24"/>
        </w:rPr>
        <w:t>TÉCNICOS PARA IMPLANTAÇÃO DE REDUTOR DE VELOCIDADE (LOMBADA OU VALETA)</w:t>
      </w:r>
      <w:r w:rsidR="00031FEB">
        <w:rPr>
          <w:rFonts w:ascii="Courier New" w:hAnsi="Courier New" w:cs="Courier New"/>
          <w:b/>
          <w:kern w:val="3"/>
          <w:sz w:val="24"/>
          <w:szCs w:val="24"/>
        </w:rPr>
        <w:t xml:space="preserve">, </w:t>
      </w:r>
      <w:r w:rsidRPr="00031FEB" w:rsidR="00031FEB">
        <w:rPr>
          <w:rFonts w:ascii="Courier New" w:hAnsi="Courier New" w:cs="Courier New"/>
          <w:b/>
          <w:kern w:val="3"/>
          <w:sz w:val="24"/>
          <w:szCs w:val="24"/>
        </w:rPr>
        <w:t>SINALIZAÇÃO VERTICAL DE PARADA OBRIGATÓRIA (PARE) E FAIXAS DE PEDESTRES NA RUA JOSÉ DOMINGOS DE GODOY FILHO</w:t>
      </w:r>
      <w:r w:rsidRPr="00954EDC" w:rsidR="00954EDC">
        <w:rPr>
          <w:rFonts w:ascii="Courier New" w:hAnsi="Courier New" w:cs="Courier New"/>
          <w:b/>
          <w:kern w:val="3"/>
          <w:sz w:val="24"/>
          <w:szCs w:val="24"/>
        </w:rPr>
        <w:t>.</w:t>
      </w:r>
    </w:p>
    <w:p w:rsidR="007571D2" w:rsidRPr="000E658D" w:rsidP="00D706B5" w14:paraId="66FF4B8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0E658D" w:rsidP="00D706B5" w14:paraId="5A5B76D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E658D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0E658D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0E658D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031FEB" w:rsidP="00031FEB" w14:paraId="0D6A04C5" w14:textId="751C1D2A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54EDC">
        <w:rPr>
          <w:rFonts w:ascii="Courier New" w:hAnsi="Courier New" w:cs="Courier New"/>
          <w:sz w:val="24"/>
          <w:szCs w:val="24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</w:t>
      </w:r>
      <w:r w:rsidR="00622838">
        <w:rPr>
          <w:rFonts w:ascii="Courier New" w:hAnsi="Courier New" w:cs="Courier New"/>
          <w:sz w:val="24"/>
          <w:szCs w:val="24"/>
        </w:rPr>
        <w:t>de Mobilidade Urbana</w:t>
      </w:r>
      <w:r w:rsidRPr="00954EDC">
        <w:rPr>
          <w:rFonts w:ascii="Courier New" w:hAnsi="Courier New" w:cs="Courier New"/>
          <w:sz w:val="24"/>
          <w:szCs w:val="24"/>
        </w:rPr>
        <w:t xml:space="preserve">, visando </w:t>
      </w:r>
      <w:r>
        <w:rPr>
          <w:rFonts w:ascii="Courier New" w:hAnsi="Courier New" w:cs="Courier New"/>
          <w:sz w:val="24"/>
          <w:szCs w:val="24"/>
        </w:rPr>
        <w:t xml:space="preserve">a segurança da população, em atendimento </w:t>
      </w:r>
      <w:r w:rsidRPr="00564B9E">
        <w:rPr>
          <w:rFonts w:ascii="Courier New" w:hAnsi="Courier New" w:cs="Courier New"/>
          <w:sz w:val="24"/>
          <w:szCs w:val="24"/>
        </w:rPr>
        <w:t>à reivindicaç</w:t>
      </w:r>
      <w:r>
        <w:rPr>
          <w:rFonts w:ascii="Courier New" w:hAnsi="Courier New" w:cs="Courier New"/>
          <w:sz w:val="24"/>
          <w:szCs w:val="24"/>
        </w:rPr>
        <w:t>ão</w:t>
      </w:r>
      <w:r w:rsidRPr="00564B9E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de munícipes locais</w:t>
      </w:r>
      <w:r w:rsidRPr="00564B9E">
        <w:rPr>
          <w:rFonts w:ascii="Courier New" w:hAnsi="Courier New" w:cs="Courier New"/>
          <w:sz w:val="24"/>
          <w:szCs w:val="24"/>
        </w:rPr>
        <w:t xml:space="preserve">, </w:t>
      </w:r>
      <w:r w:rsidRPr="00564B9E">
        <w:rPr>
          <w:rFonts w:ascii="Courier New" w:hAnsi="Courier New" w:cs="Courier New"/>
          <w:b/>
          <w:bCs/>
          <w:sz w:val="24"/>
          <w:szCs w:val="24"/>
        </w:rPr>
        <w:t>INDICO</w:t>
      </w:r>
      <w:r w:rsidRPr="00564B9E">
        <w:rPr>
          <w:rFonts w:ascii="Courier New" w:hAnsi="Courier New" w:cs="Courier New"/>
          <w:sz w:val="24"/>
          <w:szCs w:val="24"/>
        </w:rPr>
        <w:t>, na forma regimental</w:t>
      </w:r>
      <w:r>
        <w:rPr>
          <w:rFonts w:ascii="Courier New" w:hAnsi="Courier New" w:cs="Courier New"/>
          <w:sz w:val="24"/>
          <w:szCs w:val="24"/>
        </w:rPr>
        <w:t>:</w:t>
      </w:r>
    </w:p>
    <w:p w:rsidR="00031FEB" w:rsidRPr="00031FEB" w:rsidP="008060C7" w14:paraId="0C6A37B6" w14:textId="165D1D5C">
      <w:pPr>
        <w:pStyle w:val="ListParagraph"/>
        <w:numPr>
          <w:ilvl w:val="0"/>
          <w:numId w:val="7"/>
        </w:numPr>
        <w:spacing w:before="120" w:after="120" w:line="360" w:lineRule="auto"/>
        <w:ind w:left="851" w:right="900" w:hanging="283"/>
        <w:contextualSpacing w:val="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E</w:t>
      </w:r>
      <w:r w:rsidRPr="00031FEB">
        <w:rPr>
          <w:rFonts w:ascii="Courier New" w:hAnsi="Courier New" w:cs="Courier New"/>
          <w:sz w:val="24"/>
          <w:szCs w:val="24"/>
        </w:rPr>
        <w:t>studos técnicos e instalação urgente de dispositivos redutores de velocidade (lombada ou valeta), sinalização vertical de parada obrigatória (PARE) e faixas de pedestres na rua José Domingos de Godoy Filho, especialmente nos cruzamentos com as ruas Nicolau Sanseverino e Retirada da Laguna, bem como na altura do número 270, visando garantir a segurança viária e a preservação da integridade física da população.</w:t>
      </w:r>
    </w:p>
    <w:p w:rsidR="008060C7" w:rsidP="008060C7" w14:paraId="5A1555E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060C7">
        <w:rPr>
          <w:rFonts w:ascii="Courier New" w:hAnsi="Courier New" w:cs="Courier New"/>
          <w:sz w:val="24"/>
          <w:szCs w:val="24"/>
        </w:rPr>
        <w:t xml:space="preserve">A presente propositura encontra arrimo jurídico na necessidade premente de salvaguardar o </w:t>
      </w:r>
      <w:r w:rsidRPr="008060C7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8060C7">
        <w:rPr>
          <w:rFonts w:ascii="Courier New" w:hAnsi="Courier New" w:cs="Courier New"/>
          <w:sz w:val="24"/>
          <w:szCs w:val="24"/>
        </w:rPr>
        <w:t xml:space="preserve"> (Art. 1º, III, CF/88) e o direito social à segurança, transcendendo a mera conveniência administrativa para alcançar o status de obrigação estatal imperativa.</w:t>
      </w:r>
    </w:p>
    <w:p w:rsidR="008060C7" w:rsidP="008060C7" w14:paraId="624DC3A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060C7">
        <w:rPr>
          <w:rFonts w:ascii="Courier New" w:hAnsi="Courier New" w:cs="Courier New"/>
          <w:sz w:val="24"/>
          <w:szCs w:val="24"/>
        </w:rPr>
        <w:t xml:space="preserve">A ausência de sinalização adequada e de mecanismos de contenção de velocidade em via sabidamente perigosa, como a Rua José Domingos de Godoy Filho, configura evidente omissão administrativa, violando o </w:t>
      </w:r>
      <w:r w:rsidRPr="008060C7">
        <w:rPr>
          <w:rFonts w:ascii="Courier New" w:hAnsi="Courier New" w:cs="Courier New"/>
          <w:b/>
          <w:bCs/>
          <w:sz w:val="24"/>
          <w:szCs w:val="24"/>
        </w:rPr>
        <w:t>Princípio da Eficiência Administrativa</w:t>
      </w:r>
      <w:r w:rsidRPr="008060C7">
        <w:rPr>
          <w:rFonts w:ascii="Courier New" w:hAnsi="Courier New" w:cs="Courier New"/>
          <w:sz w:val="24"/>
          <w:szCs w:val="24"/>
        </w:rPr>
        <w:t xml:space="preserve"> (Art. 37, </w:t>
      </w:r>
      <w:r w:rsidRPr="008060C7">
        <w:rPr>
          <w:rFonts w:ascii="Courier New" w:hAnsi="Courier New" w:cs="Courier New"/>
          <w:i/>
          <w:iCs/>
          <w:sz w:val="24"/>
          <w:szCs w:val="24"/>
        </w:rPr>
        <w:t>caput</w:t>
      </w:r>
      <w:r w:rsidRPr="008060C7">
        <w:rPr>
          <w:rFonts w:ascii="Courier New" w:hAnsi="Courier New" w:cs="Courier New"/>
          <w:sz w:val="24"/>
          <w:szCs w:val="24"/>
        </w:rPr>
        <w:t>, CF/88), uma vez que a gestão pública deve zelar pela fluidez e segurança do tráfego para evitar sinistros.</w:t>
      </w:r>
    </w:p>
    <w:p w:rsidR="008060C7" w:rsidRPr="008060C7" w:rsidP="008060C7" w14:paraId="1D6BAC6E" w14:textId="7C22E8E6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060C7">
        <w:rPr>
          <w:rFonts w:ascii="Courier New" w:hAnsi="Courier New" w:cs="Courier New"/>
          <w:sz w:val="24"/>
          <w:szCs w:val="24"/>
        </w:rPr>
        <w:t>O dever de agir do Município é cristalino, pois a segurança no trânsito é direito de todos e dever dos órgãos e entidades componentes do Sistema Nacional de Trânsito, conforme preceitua o Art. 1º, §2º, do Código de Trânsito Brasileiro (Lei nº 9.503/97).</w:t>
      </w:r>
    </w:p>
    <w:p w:rsidR="008060C7" w:rsidP="008060C7" w14:paraId="3E2E3ED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060C7">
        <w:rPr>
          <w:rFonts w:ascii="Courier New" w:hAnsi="Courier New" w:cs="Courier New"/>
          <w:sz w:val="24"/>
          <w:szCs w:val="24"/>
        </w:rPr>
        <w:t xml:space="preserve">Consoante o diploma legal supracitado, a responsabilidade objetiva do ente público pela manutenção de vias seguras é corolário do dever de cuidado, impondo-se a aplicação do secular brocardo latino </w:t>
      </w:r>
      <w:r w:rsidRPr="008060C7">
        <w:rPr>
          <w:rFonts w:ascii="Courier New" w:hAnsi="Courier New" w:cs="Courier New"/>
          <w:i/>
          <w:iCs/>
          <w:sz w:val="24"/>
          <w:szCs w:val="24"/>
        </w:rPr>
        <w:t>salus populi suprema lex esto</w:t>
      </w:r>
      <w:r w:rsidRPr="008060C7">
        <w:rPr>
          <w:rFonts w:ascii="Courier New" w:hAnsi="Courier New" w:cs="Courier New"/>
          <w:sz w:val="24"/>
          <w:szCs w:val="24"/>
        </w:rPr>
        <w:t>, de modo que o bem-estar e a vida da coletividade devem nortear toda e qualquer atuação do Poder Executivo.</w:t>
      </w:r>
    </w:p>
    <w:p w:rsidR="008060C7" w:rsidP="008060C7" w14:paraId="719FAD2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060C7">
        <w:rPr>
          <w:rFonts w:ascii="Courier New" w:hAnsi="Courier New" w:cs="Courier New"/>
          <w:sz w:val="24"/>
          <w:szCs w:val="24"/>
        </w:rPr>
        <w:t xml:space="preserve">A inércia na implementação de sinalização de "PARE" nos cruzamentos citados, bem como da faixa de pedestres e lombada defronte ao número 270, fere o </w:t>
      </w:r>
      <w:r w:rsidRPr="008060C7">
        <w:rPr>
          <w:rFonts w:ascii="Courier New" w:hAnsi="Courier New" w:cs="Courier New"/>
          <w:b/>
          <w:bCs/>
          <w:sz w:val="24"/>
          <w:szCs w:val="24"/>
        </w:rPr>
        <w:t>Princípio da Prevenção</w:t>
      </w:r>
      <w:r w:rsidRPr="008060C7">
        <w:rPr>
          <w:rFonts w:ascii="Courier New" w:hAnsi="Courier New" w:cs="Courier New"/>
          <w:sz w:val="24"/>
          <w:szCs w:val="24"/>
        </w:rPr>
        <w:t xml:space="preserve">, inerente à responsabilidade civil, sob o prisma do </w:t>
      </w:r>
      <w:r w:rsidRPr="008060C7">
        <w:rPr>
          <w:rFonts w:ascii="Courier New" w:hAnsi="Courier New" w:cs="Courier New"/>
          <w:i/>
          <w:iCs/>
          <w:sz w:val="24"/>
          <w:szCs w:val="24"/>
        </w:rPr>
        <w:t>neminem laedere</w:t>
      </w:r>
      <w:r w:rsidRPr="008060C7">
        <w:rPr>
          <w:rFonts w:ascii="Courier New" w:hAnsi="Courier New" w:cs="Courier New"/>
          <w:sz w:val="24"/>
          <w:szCs w:val="24"/>
        </w:rPr>
        <w:t>, que veda a prática de condutas — ainda que omissivas — que resultem em danos a terceiros.</w:t>
      </w:r>
    </w:p>
    <w:p w:rsidR="008060C7" w:rsidRPr="008060C7" w:rsidP="008060C7" w14:paraId="46C2AD16" w14:textId="4B6B621C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060C7">
        <w:rPr>
          <w:rFonts w:ascii="Courier New" w:hAnsi="Courier New" w:cs="Courier New"/>
          <w:sz w:val="24"/>
          <w:szCs w:val="24"/>
        </w:rPr>
        <w:t xml:space="preserve">A administração, ao negligenciar a sinalização vertical e horizontal em pontos de convergência de fluxo acelerado, assume o risco </w:t>
      </w:r>
      <w:r w:rsidRPr="008060C7">
        <w:rPr>
          <w:rFonts w:ascii="Courier New" w:hAnsi="Courier New" w:cs="Courier New"/>
          <w:sz w:val="24"/>
          <w:szCs w:val="24"/>
        </w:rPr>
        <w:t>de produção de danos que poderiam ser mitigados por intervenções de baixo custo e alto impacto social.</w:t>
      </w:r>
    </w:p>
    <w:p w:rsidR="008060C7" w:rsidP="008060C7" w14:paraId="79CB74C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060C7">
        <w:rPr>
          <w:rFonts w:ascii="Courier New" w:hAnsi="Courier New" w:cs="Courier New"/>
          <w:sz w:val="24"/>
          <w:szCs w:val="24"/>
        </w:rPr>
        <w:t xml:space="preserve">Sob a ótica do </w:t>
      </w:r>
      <w:r w:rsidRPr="008060C7">
        <w:rPr>
          <w:rFonts w:ascii="Courier New" w:hAnsi="Courier New" w:cs="Courier New"/>
          <w:b/>
          <w:bCs/>
          <w:sz w:val="24"/>
          <w:szCs w:val="24"/>
        </w:rPr>
        <w:t>Princípio da Proibição do Retrocesso Social</w:t>
      </w:r>
      <w:r w:rsidRPr="008060C7">
        <w:rPr>
          <w:rFonts w:ascii="Courier New" w:hAnsi="Courier New" w:cs="Courier New"/>
          <w:sz w:val="24"/>
          <w:szCs w:val="24"/>
        </w:rPr>
        <w:t xml:space="preserve">, o Município não pode negligenciar a segurança viária em áreas de adensamento populacional, sendo a intervenção ora sugerida medida </w:t>
      </w:r>
      <w:r w:rsidRPr="008060C7">
        <w:rPr>
          <w:rFonts w:ascii="Courier New" w:hAnsi="Courier New" w:cs="Courier New"/>
          <w:i/>
          <w:iCs/>
          <w:sz w:val="24"/>
          <w:szCs w:val="24"/>
        </w:rPr>
        <w:t>sine qua non</w:t>
      </w:r>
      <w:r w:rsidRPr="008060C7">
        <w:rPr>
          <w:rFonts w:ascii="Courier New" w:hAnsi="Courier New" w:cs="Courier New"/>
          <w:sz w:val="24"/>
          <w:szCs w:val="24"/>
        </w:rPr>
        <w:t xml:space="preserve"> para a preservação da paz social e do </w:t>
      </w:r>
      <w:r w:rsidRPr="008060C7">
        <w:rPr>
          <w:rFonts w:ascii="Courier New" w:hAnsi="Courier New" w:cs="Courier New"/>
          <w:b/>
          <w:bCs/>
          <w:sz w:val="24"/>
          <w:szCs w:val="24"/>
        </w:rPr>
        <w:t>Princípio da Solidariedade</w:t>
      </w:r>
      <w:r w:rsidRPr="008060C7">
        <w:rPr>
          <w:rFonts w:ascii="Courier New" w:hAnsi="Courier New" w:cs="Courier New"/>
          <w:sz w:val="24"/>
          <w:szCs w:val="24"/>
        </w:rPr>
        <w:t>, garantindo-se a justiça distributiva no acesso a vias seguras e iluminadas pela legalidade.</w:t>
      </w:r>
    </w:p>
    <w:p w:rsidR="008060C7" w:rsidRPr="008060C7" w:rsidP="008060C7" w14:paraId="3576F684" w14:textId="411C67EB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060C7">
        <w:rPr>
          <w:rFonts w:ascii="Courier New" w:hAnsi="Courier New" w:cs="Courier New"/>
          <w:sz w:val="24"/>
          <w:szCs w:val="24"/>
        </w:rPr>
        <w:t xml:space="preserve">A teoria do risco administrativo, agasalhada pelo Art. 37, §6º, da Constituição Federal, impõe ao ente federado o dever de agir para neutralizar perigos iminentes, fundamentando-se no </w:t>
      </w:r>
      <w:r w:rsidRPr="008060C7">
        <w:rPr>
          <w:rFonts w:ascii="Courier New" w:hAnsi="Courier New" w:cs="Courier New"/>
          <w:b/>
          <w:bCs/>
          <w:sz w:val="24"/>
          <w:szCs w:val="24"/>
        </w:rPr>
        <w:t>Princípio da Continuidade do Serviço Público</w:t>
      </w:r>
      <w:r w:rsidRPr="008060C7">
        <w:rPr>
          <w:rFonts w:ascii="Courier New" w:hAnsi="Courier New" w:cs="Courier New"/>
          <w:sz w:val="24"/>
          <w:szCs w:val="24"/>
        </w:rPr>
        <w:t xml:space="preserve"> e na proteção à incolumidade física. O Estado deve atuar como garante da ordem pública, sendo que a mora administrativa na correção de falhas estruturais de trânsito configura falha no serviço (</w:t>
      </w:r>
      <w:r w:rsidRPr="008060C7">
        <w:rPr>
          <w:rFonts w:ascii="Courier New" w:hAnsi="Courier New" w:cs="Courier New"/>
          <w:i/>
          <w:iCs/>
          <w:sz w:val="24"/>
          <w:szCs w:val="24"/>
        </w:rPr>
        <w:t>faute du service</w:t>
      </w:r>
      <w:r w:rsidRPr="008060C7">
        <w:rPr>
          <w:rFonts w:ascii="Courier New" w:hAnsi="Courier New" w:cs="Courier New"/>
          <w:sz w:val="24"/>
          <w:szCs w:val="24"/>
        </w:rPr>
        <w:t>), passível de gerar responsabilização civil em caso de eventos danosos.</w:t>
      </w:r>
    </w:p>
    <w:p w:rsidR="008060C7" w:rsidP="008060C7" w14:paraId="5232B47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060C7">
        <w:rPr>
          <w:rFonts w:ascii="Courier New" w:hAnsi="Courier New" w:cs="Courier New"/>
          <w:sz w:val="24"/>
          <w:szCs w:val="24"/>
        </w:rPr>
        <w:t>Ademais, a implementação destas medidas revela-se como exercício do poder de polícia administrativa em sua faceta preventiva, visando a harmonização dos interesses individuais com o interesse público primário.</w:t>
      </w:r>
    </w:p>
    <w:p w:rsidR="008060C7" w:rsidP="008060C7" w14:paraId="6346919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060C7">
        <w:rPr>
          <w:rFonts w:ascii="Courier New" w:hAnsi="Courier New" w:cs="Courier New"/>
          <w:sz w:val="24"/>
          <w:szCs w:val="24"/>
        </w:rPr>
        <w:t xml:space="preserve">A adoção de redutores de velocidade e sinalização de parada obrigatória materializa o </w:t>
      </w:r>
      <w:r w:rsidRPr="008060C7">
        <w:rPr>
          <w:rFonts w:ascii="Courier New" w:hAnsi="Courier New" w:cs="Courier New"/>
          <w:b/>
          <w:bCs/>
          <w:sz w:val="24"/>
          <w:szCs w:val="24"/>
        </w:rPr>
        <w:t>Princípio da Proporcionalidade</w:t>
      </w:r>
      <w:r w:rsidRPr="008060C7">
        <w:rPr>
          <w:rFonts w:ascii="Courier New" w:hAnsi="Courier New" w:cs="Courier New"/>
          <w:sz w:val="24"/>
          <w:szCs w:val="24"/>
        </w:rPr>
        <w:t xml:space="preserve"> e da </w:t>
      </w:r>
      <w:r w:rsidRPr="008060C7">
        <w:rPr>
          <w:rFonts w:ascii="Courier New" w:hAnsi="Courier New" w:cs="Courier New"/>
          <w:b/>
          <w:bCs/>
          <w:sz w:val="24"/>
          <w:szCs w:val="24"/>
        </w:rPr>
        <w:t>Razoabilidade</w:t>
      </w:r>
      <w:r w:rsidRPr="008060C7">
        <w:rPr>
          <w:rFonts w:ascii="Courier New" w:hAnsi="Courier New" w:cs="Courier New"/>
          <w:sz w:val="24"/>
          <w:szCs w:val="24"/>
        </w:rPr>
        <w:t>, adequando o meio (infraestrutura viária) ao fim colimado (preservação da vida).</w:t>
      </w:r>
    </w:p>
    <w:p w:rsidR="008060C7" w:rsidRPr="008060C7" w:rsidP="008060C7" w14:paraId="2FDBF168" w14:textId="346A0B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060C7">
        <w:rPr>
          <w:rFonts w:ascii="Courier New" w:hAnsi="Courier New" w:cs="Courier New"/>
          <w:sz w:val="24"/>
          <w:szCs w:val="24"/>
        </w:rPr>
        <w:t xml:space="preserve">Portanto, a presente indicação não apenas reflete o anseio da comunidade local, mas consubstancia a aplicação direta do arcabouço normativo que rege a Administração Pública, afastando o risco de dano </w:t>
      </w:r>
      <w:r w:rsidRPr="008060C7">
        <w:rPr>
          <w:rFonts w:ascii="Courier New" w:hAnsi="Courier New" w:cs="Courier New"/>
          <w:sz w:val="24"/>
          <w:szCs w:val="24"/>
        </w:rPr>
        <w:t>irreparável à saúde e à vida da população e assegurando que o direito de ir e vir seja exercido com a devida segurança jurídica e material.</w:t>
      </w:r>
    </w:p>
    <w:p w:rsidR="00954EDC" w:rsidP="00954EDC" w14:paraId="6407D749" w14:textId="01C30F01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Assim sendo,</w:t>
      </w:r>
      <w:r w:rsidRPr="00954EDC">
        <w:rPr>
          <w:rFonts w:ascii="Courier New" w:hAnsi="Courier New" w:cs="Courier New"/>
          <w:sz w:val="24"/>
          <w:szCs w:val="24"/>
        </w:rPr>
        <w:t xml:space="preserve"> a implementação destas medidas revela-se providência </w:t>
      </w:r>
      <w:r w:rsidRPr="00954EDC">
        <w:rPr>
          <w:rFonts w:ascii="Courier New" w:hAnsi="Courier New" w:cs="Courier New"/>
          <w:i/>
          <w:iCs/>
          <w:sz w:val="24"/>
          <w:szCs w:val="24"/>
        </w:rPr>
        <w:t>sine qua non</w:t>
      </w:r>
      <w:r w:rsidRPr="00954EDC">
        <w:rPr>
          <w:rFonts w:ascii="Courier New" w:hAnsi="Courier New" w:cs="Courier New"/>
          <w:sz w:val="24"/>
          <w:szCs w:val="24"/>
        </w:rPr>
        <w:t xml:space="preserve"> para assegurar a </w:t>
      </w:r>
      <w:r w:rsidRPr="00D73096" w:rsidR="00D73096">
        <w:rPr>
          <w:rFonts w:ascii="Courier New" w:hAnsi="Courier New" w:cs="Courier New"/>
          <w:b/>
          <w:bCs/>
          <w:sz w:val="24"/>
          <w:szCs w:val="24"/>
        </w:rPr>
        <w:t>Segurança</w:t>
      </w:r>
      <w:r w:rsidRPr="00954EDC">
        <w:rPr>
          <w:rFonts w:ascii="Courier New" w:hAnsi="Courier New" w:cs="Courier New"/>
          <w:sz w:val="24"/>
          <w:szCs w:val="24"/>
        </w:rPr>
        <w:t xml:space="preserve"> </w:t>
      </w:r>
      <w:r w:rsidRPr="00954EDC">
        <w:rPr>
          <w:rFonts w:ascii="Courier New" w:hAnsi="Courier New" w:cs="Courier New"/>
          <w:b/>
          <w:bCs/>
          <w:sz w:val="24"/>
          <w:szCs w:val="24"/>
        </w:rPr>
        <w:t>Social</w:t>
      </w:r>
      <w:r w:rsidRPr="00954EDC">
        <w:rPr>
          <w:rFonts w:ascii="Courier New" w:hAnsi="Courier New" w:cs="Courier New"/>
          <w:sz w:val="24"/>
          <w:szCs w:val="24"/>
        </w:rPr>
        <w:t>, tratamento digno a todos os munícipes</w:t>
      </w:r>
      <w:r w:rsidR="00D73096">
        <w:rPr>
          <w:rFonts w:ascii="Courier New" w:hAnsi="Courier New" w:cs="Courier New"/>
          <w:sz w:val="24"/>
          <w:szCs w:val="24"/>
        </w:rPr>
        <w:t>.</w:t>
      </w:r>
    </w:p>
    <w:p w:rsidR="001949B0" w:rsidP="00D706B5" w14:paraId="331A9FFD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7571D2" w:rsidRPr="000E658D" w:rsidP="00D706B5" w14:paraId="12937655" w14:textId="31A57231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Em tempo, </w:t>
      </w:r>
      <w:r w:rsidRPr="000E658D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0E658D" w:rsidP="00D706B5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0E658D" w:rsidP="00D706B5" w14:paraId="3B47A36A" w14:textId="1B9B594A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Róttoli”, em 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0E658D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0E658D">
        <w:rPr>
          <w:rFonts w:ascii="Courier New" w:hAnsi="Courier New" w:cs="Courier New"/>
          <w:i/>
          <w:iCs/>
          <w:sz w:val="24"/>
          <w:szCs w:val="24"/>
        </w:rPr>
        <w:t>25 de março de 2026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0E658D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D706B5" w14:paraId="46550016" w14:textId="7777777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564B9E" w:rsidRPr="000E658D" w:rsidP="00D706B5" w14:paraId="1415B084" w14:textId="7777777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7571D2" w:rsidRPr="00564B9E" w:rsidP="00D73096" w14:paraId="45F11905" w14:textId="77777777">
      <w:pPr>
        <w:spacing w:line="480" w:lineRule="auto"/>
        <w:jc w:val="center"/>
        <w:rPr>
          <w:rFonts w:ascii="Courier New" w:hAnsi="Courier New" w:cs="Courier New"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P="00D73096" w14:paraId="1EEF621E" w14:textId="0C66E93E">
      <w:pPr>
        <w:spacing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564B9E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>
        <w:rPr>
          <w:rFonts w:ascii="Courier New" w:hAnsi="Courier New" w:cs="Courier New"/>
          <w:b/>
          <w:bCs/>
          <w:sz w:val="24"/>
          <w:szCs w:val="24"/>
        </w:rPr>
        <w:br/>
      </w:r>
      <w:r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1277C1" w:rsidRPr="00564B9E" w:rsidP="00B36175" w14:paraId="21D86DA8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031FEB" w:rsidP="00D706B5" w14:paraId="4D59A42A" w14:textId="403BB2F8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91626" cy="1295400"/>
            <wp:effectExtent l="0" t="0" r="889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3507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209" cy="129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FEB" w14:paraId="4D4D98F4" w14:textId="77777777">
      <w:pPr>
        <w:suppressAutoHyphens w:val="0"/>
        <w:spacing w:after="160" w:line="259" w:lineRule="auto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bCs/>
          <w:kern w:val="3"/>
          <w:sz w:val="24"/>
          <w:szCs w:val="24"/>
        </w:rPr>
        <w:br w:type="page"/>
      </w:r>
    </w:p>
    <w:p w:rsidR="007571D2" w:rsidRPr="000E658D" w:rsidP="00D706B5" w14:paraId="701A6904" w14:textId="0F477ABE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>
        <w:rPr>
          <w:rFonts w:ascii="Courier New" w:hAnsi="Courier New" w:cs="Courier New"/>
          <w:bCs/>
          <w:noProof/>
          <w:kern w:val="3"/>
          <w:sz w:val="24"/>
          <w:szCs w:val="24"/>
        </w:rPr>
        <w:drawing>
          <wp:inline distT="0" distB="0" distL="0" distR="0">
            <wp:extent cx="5886450" cy="2806723"/>
            <wp:effectExtent l="152400" t="114300" r="152400" b="107950"/>
            <wp:docPr id="32803398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2863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165" cy="2827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Sect="008060C7">
      <w:headerReference w:type="default" r:id="rId7"/>
      <w:footerReference w:type="default" r:id="rId8"/>
      <w:pgSz w:w="12240" w:h="15840"/>
      <w:pgMar w:top="1985" w:right="1134" w:bottom="1418" w:left="1134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8060C7" w14:paraId="360AB6D2" w14:textId="77777777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2E02A1EC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5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5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245209" w:rsidRPr="008060C7" w14:paraId="6AAF0F47" w14:textId="77777777">
    <w:pPr>
      <w:pStyle w:val="Footer"/>
      <w:rPr>
        <w:rFonts w:ascii="Courier New" w:hAnsi="Courier New" w:cs="Courier New"/>
      </w:rPr>
    </w:pPr>
  </w:p>
  <w:p w:rsidR="008060C7" w:rsidP="008060C7" w14:paraId="76AB094D" w14:textId="5F8CB5FE">
    <w:pPr>
      <w:pStyle w:val="Footer"/>
      <w:jc w:val="cen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  <w:r>
      <w:rPr>
        <w:rFonts w:ascii="Courier New" w:hAnsi="Courier New" w:cs="Courier New"/>
      </w:rPr>
      <w:br/>
    </w:r>
    <w:r w:rsidRPr="008060C7">
      <w:rPr>
        <w:rFonts w:ascii="Courier New" w:hAnsi="Courier New" w:cs="Courier New"/>
      </w:rPr>
      <w:t>Fone (019) 3814.1200 – Fax: (019) 3814.1224.</w:t>
    </w:r>
  </w:p>
  <w:p w:rsidR="008060C7" w:rsidRPr="008060C7" w:rsidP="008060C7" w14:paraId="5C0BB8E6" w14:textId="77777777">
    <w:pPr>
      <w:pStyle w:val="Footer"/>
      <w:jc w:val="center"/>
      <w:rPr>
        <w:rFonts w:ascii="Courier New" w:hAnsi="Courier New" w:cs="Courier Ne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139170F6">
    <w:pPr>
      <w:rPr>
        <w:sz w:val="6"/>
        <w:szCs w:val="6"/>
      </w:rPr>
    </w:pP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351155</wp:posOffset>
          </wp:positionH>
          <wp:positionV relativeFrom="paragraph">
            <wp:posOffset>-197485</wp:posOffset>
          </wp:positionV>
          <wp:extent cx="1091565" cy="909320"/>
          <wp:effectExtent l="0" t="0" r="0" b="5080"/>
          <wp:wrapNone/>
          <wp:docPr id="702866963" name="Imagem 702866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08691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AF7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1549400</wp:posOffset>
          </wp:positionH>
          <wp:positionV relativeFrom="paragraph">
            <wp:posOffset>-7620</wp:posOffset>
          </wp:positionV>
          <wp:extent cx="4457700" cy="563880"/>
          <wp:effectExtent l="0" t="0" r="0" b="7620"/>
          <wp:wrapNone/>
          <wp:docPr id="9157972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873927" name="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B4EDA"/>
    <w:rsid w:val="000E658D"/>
    <w:rsid w:val="000F672F"/>
    <w:rsid w:val="00124163"/>
    <w:rsid w:val="001277C1"/>
    <w:rsid w:val="00153665"/>
    <w:rsid w:val="00156CD3"/>
    <w:rsid w:val="00183AF0"/>
    <w:rsid w:val="001949B0"/>
    <w:rsid w:val="001959EF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D2C82"/>
    <w:rsid w:val="002D68CE"/>
    <w:rsid w:val="002F76C7"/>
    <w:rsid w:val="00307AFD"/>
    <w:rsid w:val="00327030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622A3"/>
    <w:rsid w:val="004F1BCE"/>
    <w:rsid w:val="004F7A40"/>
    <w:rsid w:val="00507EC7"/>
    <w:rsid w:val="00510DC1"/>
    <w:rsid w:val="00537FEA"/>
    <w:rsid w:val="00564B9E"/>
    <w:rsid w:val="0059377F"/>
    <w:rsid w:val="005D014E"/>
    <w:rsid w:val="005E33D2"/>
    <w:rsid w:val="005F4D88"/>
    <w:rsid w:val="00622838"/>
    <w:rsid w:val="006319D1"/>
    <w:rsid w:val="00657DB6"/>
    <w:rsid w:val="0066388F"/>
    <w:rsid w:val="006B2CD0"/>
    <w:rsid w:val="006B701B"/>
    <w:rsid w:val="006C51EA"/>
    <w:rsid w:val="006D56EE"/>
    <w:rsid w:val="006E31FD"/>
    <w:rsid w:val="006F3588"/>
    <w:rsid w:val="00704898"/>
    <w:rsid w:val="00744EB9"/>
    <w:rsid w:val="00744EFF"/>
    <w:rsid w:val="00747418"/>
    <w:rsid w:val="007571D2"/>
    <w:rsid w:val="0078781A"/>
    <w:rsid w:val="00792F39"/>
    <w:rsid w:val="007A702D"/>
    <w:rsid w:val="007C6744"/>
    <w:rsid w:val="007F5BB3"/>
    <w:rsid w:val="008060C7"/>
    <w:rsid w:val="00815F08"/>
    <w:rsid w:val="00826BB5"/>
    <w:rsid w:val="008844E4"/>
    <w:rsid w:val="008C42BB"/>
    <w:rsid w:val="008D10B2"/>
    <w:rsid w:val="008E2705"/>
    <w:rsid w:val="00923162"/>
    <w:rsid w:val="0094153C"/>
    <w:rsid w:val="00954EDC"/>
    <w:rsid w:val="00986774"/>
    <w:rsid w:val="00991752"/>
    <w:rsid w:val="009A34E3"/>
    <w:rsid w:val="00A2269D"/>
    <w:rsid w:val="00A23C0E"/>
    <w:rsid w:val="00A331D9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36175"/>
    <w:rsid w:val="00B75636"/>
    <w:rsid w:val="00B85B25"/>
    <w:rsid w:val="00B90DF4"/>
    <w:rsid w:val="00B91F6D"/>
    <w:rsid w:val="00B97728"/>
    <w:rsid w:val="00BD12F2"/>
    <w:rsid w:val="00BE3319"/>
    <w:rsid w:val="00C04FE4"/>
    <w:rsid w:val="00C211AD"/>
    <w:rsid w:val="00C2517C"/>
    <w:rsid w:val="00C31D75"/>
    <w:rsid w:val="00C372C4"/>
    <w:rsid w:val="00C95BB4"/>
    <w:rsid w:val="00CA4CE7"/>
    <w:rsid w:val="00CC385D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E26DB0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518ED"/>
    <w:rsid w:val="00F65A30"/>
    <w:rsid w:val="00F87F27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5</Pages>
  <Words>792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62</cp:revision>
  <cp:lastPrinted>2026-03-25T17:05:52Z</cp:lastPrinted>
  <dcterms:created xsi:type="dcterms:W3CDTF">2026-01-09T01:35:00Z</dcterms:created>
  <dcterms:modified xsi:type="dcterms:W3CDTF">2026-03-25T16:50:00Z</dcterms:modified>
</cp:coreProperties>
</file>