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0A06" w:rsidP="009A1FFA">
      <w:pPr>
        <w:spacing w:line="360" w:lineRule="auto"/>
        <w:ind w:left="100" w:leftChars="50"/>
        <w:rPr>
          <w:b/>
          <w:bCs/>
          <w:iCs/>
          <w:color w:val="000000"/>
          <w:sz w:val="24"/>
          <w:szCs w:val="24"/>
          <w:shd w:val="clear" w:color="auto" w:fill="FFFFFF"/>
        </w:rPr>
      </w:pPr>
    </w:p>
    <w:p w:rsidR="008615FD" w:rsidRPr="009A1FFA" w:rsidP="009A1FFA">
      <w:pPr>
        <w:spacing w:line="360" w:lineRule="auto"/>
        <w:ind w:left="100" w:leftChars="50"/>
        <w:rPr>
          <w:sz w:val="24"/>
          <w:szCs w:val="24"/>
        </w:rPr>
      </w:pPr>
      <w:r w:rsidRPr="009A1FFA">
        <w:rPr>
          <w:b/>
          <w:bCs/>
          <w:iCs/>
          <w:color w:val="000000"/>
          <w:sz w:val="24"/>
          <w:szCs w:val="24"/>
          <w:shd w:val="clear" w:color="auto" w:fill="FFFFFF"/>
        </w:rPr>
        <w:t>Projeto de Lei</w:t>
      </w:r>
      <w:r w:rsidRPr="009A1FFA" w:rsidR="00614281">
        <w:rPr>
          <w:b/>
          <w:bCs/>
          <w:iCs/>
          <w:color w:val="000000"/>
          <w:sz w:val="24"/>
          <w:szCs w:val="24"/>
          <w:shd w:val="clear" w:color="auto" w:fill="FFFFFF"/>
        </w:rPr>
        <w:t xml:space="preserve"> </w:t>
      </w:r>
      <w:r w:rsidR="00AD6C09">
        <w:rPr>
          <w:b/>
          <w:bCs/>
          <w:iCs/>
          <w:color w:val="000000"/>
          <w:sz w:val="24"/>
          <w:szCs w:val="24"/>
          <w:shd w:val="clear" w:color="auto" w:fill="FFFFFF"/>
        </w:rPr>
        <w:t xml:space="preserve">Complementar </w:t>
      </w:r>
      <w:r w:rsidRPr="009A1FFA" w:rsidR="00614281">
        <w:rPr>
          <w:b/>
          <w:bCs/>
          <w:iCs/>
          <w:color w:val="000000"/>
          <w:sz w:val="24"/>
          <w:szCs w:val="24"/>
          <w:shd w:val="clear" w:color="auto" w:fill="FFFFFF"/>
        </w:rPr>
        <w:t xml:space="preserve">nº </w:t>
      </w:r>
      <w:r w:rsidR="00AD6C09">
        <w:rPr>
          <w:b/>
          <w:bCs/>
          <w:iCs/>
          <w:color w:val="000000"/>
          <w:sz w:val="24"/>
          <w:szCs w:val="24"/>
          <w:shd w:val="clear" w:color="auto" w:fill="FFFFFF"/>
        </w:rPr>
        <w:t>01/2026</w:t>
      </w:r>
    </w:p>
    <w:p w:rsidR="008615FD" w:rsidP="009A1FFA">
      <w:pPr>
        <w:pStyle w:val="BodyText"/>
        <w:spacing w:after="0" w:line="360" w:lineRule="auto"/>
        <w:ind w:left="100" w:leftChars="50"/>
        <w:contextualSpacing/>
        <w:rPr>
          <w:b/>
          <w:color w:val="000000"/>
          <w:sz w:val="24"/>
          <w:szCs w:val="24"/>
        </w:rPr>
      </w:pPr>
      <w:r w:rsidRPr="009A1FFA">
        <w:rPr>
          <w:b/>
          <w:color w:val="000000"/>
          <w:sz w:val="24"/>
          <w:szCs w:val="24"/>
        </w:rPr>
        <w:t xml:space="preserve">Processo nº </w:t>
      </w:r>
      <w:r w:rsidR="00AD6C09">
        <w:rPr>
          <w:b/>
          <w:color w:val="000000"/>
          <w:sz w:val="24"/>
          <w:szCs w:val="24"/>
        </w:rPr>
        <w:t>8</w:t>
      </w:r>
      <w:r w:rsidRPr="009A1FFA">
        <w:rPr>
          <w:b/>
          <w:color w:val="000000"/>
          <w:sz w:val="24"/>
          <w:szCs w:val="24"/>
        </w:rPr>
        <w:t>/202</w:t>
      </w:r>
      <w:r w:rsidR="00AD6C09">
        <w:rPr>
          <w:b/>
          <w:color w:val="000000"/>
          <w:sz w:val="24"/>
          <w:szCs w:val="24"/>
        </w:rPr>
        <w:t>6</w:t>
      </w:r>
    </w:p>
    <w:p w:rsidR="00722D27" w:rsidP="00722D27">
      <w:pPr>
        <w:spacing w:before="100" w:beforeAutospacing="1" w:after="100" w:afterAutospacing="1" w:line="276" w:lineRule="auto"/>
        <w:jc w:val="center"/>
        <w:rPr>
          <w:b/>
          <w:bCs/>
          <w:kern w:val="36"/>
          <w:sz w:val="24"/>
          <w:szCs w:val="24"/>
        </w:rPr>
      </w:pPr>
      <w:r w:rsidRPr="0045211F">
        <w:rPr>
          <w:b/>
          <w:bCs/>
          <w:kern w:val="36"/>
          <w:sz w:val="24"/>
          <w:szCs w:val="24"/>
        </w:rPr>
        <w:t>PARECER CONJUNTO DAS COMISSÕES DE EXAMES DE ASSUNTOS</w:t>
      </w:r>
    </w:p>
    <w:p w:rsidR="00722D27" w:rsidP="00722D27">
      <w:pPr>
        <w:spacing w:before="100" w:beforeAutospacing="1" w:after="100" w:afterAutospacing="1" w:line="276" w:lineRule="auto"/>
        <w:jc w:val="center"/>
        <w:rPr>
          <w:b/>
          <w:bCs/>
          <w:kern w:val="36"/>
          <w:sz w:val="24"/>
          <w:szCs w:val="24"/>
        </w:rPr>
      </w:pPr>
      <w:r w:rsidRPr="0045211F">
        <w:rPr>
          <w:b/>
          <w:bCs/>
          <w:kern w:val="36"/>
          <w:sz w:val="24"/>
          <w:szCs w:val="24"/>
        </w:rPr>
        <w:t xml:space="preserve"> INDUSTRIAIS E COMERCIAIS E DE FINANÇAS E ORÇAMENTO</w:t>
      </w:r>
    </w:p>
    <w:p w:rsidR="00722D27" w:rsidP="00722D27">
      <w:pPr>
        <w:spacing w:before="100" w:beforeAutospacing="1" w:after="100" w:afterAutospacing="1" w:line="276" w:lineRule="auto"/>
        <w:jc w:val="center"/>
        <w:rPr>
          <w:sz w:val="24"/>
          <w:szCs w:val="24"/>
        </w:rPr>
      </w:pPr>
    </w:p>
    <w:p w:rsidR="00830A06" w:rsidP="00C334A7">
      <w:pPr>
        <w:pStyle w:val="BodyText"/>
        <w:spacing w:before="240" w:after="0" w:line="360" w:lineRule="auto"/>
        <w:ind w:left="100" w:leftChars="50"/>
        <w:jc w:val="center"/>
        <w:rPr>
          <w:b/>
          <w:bCs/>
          <w:sz w:val="24"/>
          <w:szCs w:val="24"/>
        </w:rPr>
      </w:pPr>
      <w:r>
        <w:rPr>
          <w:b/>
          <w:bCs/>
          <w:sz w:val="24"/>
          <w:szCs w:val="24"/>
        </w:rPr>
        <w:t>RELATÓRIO</w:t>
      </w:r>
    </w:p>
    <w:p w:rsidR="00C334A7" w:rsidRPr="00DB055E" w:rsidP="00C334A7">
      <w:pPr>
        <w:pStyle w:val="BodyText"/>
        <w:spacing w:before="240" w:after="0" w:line="360" w:lineRule="auto"/>
        <w:ind w:left="100" w:leftChars="50"/>
        <w:rPr>
          <w:bCs/>
          <w:sz w:val="24"/>
          <w:szCs w:val="24"/>
          <w:u w:val="single"/>
        </w:rPr>
      </w:pPr>
      <w:r w:rsidRPr="00DB055E">
        <w:rPr>
          <w:bCs/>
          <w:sz w:val="24"/>
          <w:szCs w:val="24"/>
          <w:u w:val="single"/>
        </w:rPr>
        <w:t>Projeto de Lei Complementar nº 01 de 2026 – Poder Executivo</w:t>
      </w:r>
    </w:p>
    <w:p w:rsidR="00C334A7" w:rsidRPr="00C334A7" w:rsidP="00C334A7">
      <w:pPr>
        <w:pStyle w:val="BodyText"/>
        <w:spacing w:before="240" w:after="0" w:line="360" w:lineRule="auto"/>
        <w:ind w:left="100" w:leftChars="50"/>
        <w:rPr>
          <w:bCs/>
          <w:i/>
          <w:sz w:val="24"/>
          <w:szCs w:val="24"/>
        </w:rPr>
      </w:pPr>
      <w:r w:rsidRPr="00C334A7">
        <w:rPr>
          <w:bCs/>
          <w:i/>
          <w:sz w:val="24"/>
          <w:szCs w:val="24"/>
        </w:rPr>
        <w:t>“Institui o Plano Municipal de Saneamento rural do Município de Mogi Mirim (PMSR), e dá outras providências”</w:t>
      </w:r>
    </w:p>
    <w:p w:rsidR="00C334A7" w:rsidRPr="00C334A7" w:rsidP="00C334A7">
      <w:pPr>
        <w:pStyle w:val="BodyText"/>
        <w:spacing w:before="240" w:after="0" w:line="360" w:lineRule="auto"/>
        <w:ind w:left="100" w:leftChars="50"/>
        <w:rPr>
          <w:bCs/>
          <w:sz w:val="24"/>
          <w:szCs w:val="24"/>
        </w:rPr>
      </w:pPr>
      <w:r w:rsidRPr="00F03B9A">
        <w:rPr>
          <w:b/>
          <w:bCs/>
          <w:sz w:val="24"/>
          <w:szCs w:val="24"/>
        </w:rPr>
        <w:t>Relator:</w:t>
      </w:r>
      <w:r w:rsidRPr="00C334A7">
        <w:rPr>
          <w:bCs/>
          <w:sz w:val="24"/>
          <w:szCs w:val="24"/>
        </w:rPr>
        <w:t xml:space="preserve"> Vereador Sargento Coran</w:t>
      </w:r>
    </w:p>
    <w:p w:rsidR="00C334A7" w:rsidP="008B0EA4">
      <w:pPr>
        <w:spacing w:before="100" w:beforeAutospacing="1" w:after="100" w:afterAutospacing="1" w:line="276" w:lineRule="auto"/>
        <w:ind w:left="100" w:leftChars="50"/>
        <w:rPr>
          <w:b/>
          <w:bCs/>
          <w:sz w:val="24"/>
          <w:szCs w:val="24"/>
        </w:rPr>
      </w:pPr>
      <w:r w:rsidRPr="009A1FFA">
        <w:rPr>
          <w:b/>
          <w:bCs/>
          <w:sz w:val="24"/>
          <w:szCs w:val="24"/>
        </w:rPr>
        <w:t xml:space="preserve">I – </w:t>
      </w:r>
      <w:r>
        <w:rPr>
          <w:b/>
          <w:bCs/>
          <w:sz w:val="24"/>
          <w:szCs w:val="24"/>
        </w:rPr>
        <w:t>FINALIDADE DO RELATÓRIO</w:t>
      </w:r>
    </w:p>
    <w:p w:rsidR="00FD2B70" w:rsidRPr="0045211F" w:rsidP="00FD2B70">
      <w:pPr>
        <w:spacing w:before="100" w:beforeAutospacing="1" w:after="100" w:afterAutospacing="1" w:line="276" w:lineRule="auto"/>
        <w:rPr>
          <w:sz w:val="24"/>
          <w:szCs w:val="24"/>
        </w:rPr>
      </w:pPr>
      <w:r>
        <w:rPr>
          <w:sz w:val="24"/>
          <w:szCs w:val="24"/>
        </w:rPr>
        <w:t xml:space="preserve">       </w:t>
      </w:r>
      <w:r w:rsidRPr="0045211F">
        <w:rPr>
          <w:sz w:val="24"/>
          <w:szCs w:val="24"/>
        </w:rPr>
        <w:t>Trata-se de análise conjunta do Projeto de Lei Complementar nº 01/2026, de iniciativa do Poder Executivo, que “Institui o Plano Municipal de Saneamento Rural (PMSR) do Município de Mogi Mirim, e dá outras providências”.</w:t>
      </w:r>
    </w:p>
    <w:p w:rsidR="00FD2B70" w:rsidRPr="0045211F" w:rsidP="00FD2B70">
      <w:pPr>
        <w:spacing w:before="100" w:beforeAutospacing="1" w:after="100" w:afterAutospacing="1" w:line="276" w:lineRule="auto"/>
        <w:rPr>
          <w:sz w:val="24"/>
          <w:szCs w:val="24"/>
        </w:rPr>
      </w:pPr>
      <w:r>
        <w:rPr>
          <w:sz w:val="24"/>
          <w:szCs w:val="24"/>
        </w:rPr>
        <w:t xml:space="preserve">       </w:t>
      </w:r>
      <w:r w:rsidRPr="0045211F">
        <w:rPr>
          <w:sz w:val="24"/>
          <w:szCs w:val="24"/>
        </w:rPr>
        <w:t xml:space="preserve">A matéria já foi objeto de parecer da Comissão de Justiça e Redação, que se manifestou quanto à constitucionalidade e legalidade da proposição, razão pela qual o presente parecer restringe-se, </w:t>
      </w:r>
      <w:r w:rsidRPr="00642F8B">
        <w:rPr>
          <w:bCs/>
          <w:sz w:val="24"/>
          <w:szCs w:val="24"/>
        </w:rPr>
        <w:t>única e exclusivamente</w:t>
      </w:r>
      <w:r w:rsidRPr="0045211F">
        <w:rPr>
          <w:sz w:val="24"/>
          <w:szCs w:val="24"/>
        </w:rPr>
        <w:t xml:space="preserve">, à análise sob a ótica </w:t>
      </w:r>
      <w:r w:rsidRPr="00642F8B">
        <w:rPr>
          <w:bCs/>
          <w:sz w:val="24"/>
          <w:szCs w:val="24"/>
        </w:rPr>
        <w:t>financeira, orçamentária e de impacto econômico</w:t>
      </w:r>
      <w:r w:rsidRPr="00642F8B">
        <w:rPr>
          <w:sz w:val="24"/>
          <w:szCs w:val="24"/>
        </w:rPr>
        <w:t>,</w:t>
      </w:r>
      <w:r w:rsidRPr="0045211F">
        <w:rPr>
          <w:sz w:val="24"/>
          <w:szCs w:val="24"/>
        </w:rPr>
        <w:t xml:space="preserve"> nos termos regimentais.</w:t>
      </w:r>
    </w:p>
    <w:p w:rsidR="00566F2C" w:rsidP="00FD2B70">
      <w:pPr>
        <w:spacing w:before="100" w:beforeAutospacing="1" w:after="100" w:afterAutospacing="1" w:line="276" w:lineRule="auto"/>
        <w:rPr>
          <w:sz w:val="24"/>
          <w:szCs w:val="24"/>
        </w:rPr>
      </w:pPr>
      <w:r>
        <w:rPr>
          <w:sz w:val="24"/>
          <w:szCs w:val="24"/>
        </w:rPr>
        <w:t xml:space="preserve">       </w:t>
      </w:r>
      <w:r w:rsidRPr="0045211F" w:rsidR="00FD2B70">
        <w:rPr>
          <w:sz w:val="24"/>
          <w:szCs w:val="24"/>
        </w:rPr>
        <w:t>O Projeto encontra-se devidamente instruído com elementos técnicos essenciais, incluindo diagnóstico, prognóstico, metas, programas, ações, cronograma de execução e estimativas de receitas e despesas para horizonte de 20 (vinte) ano</w:t>
      </w:r>
      <w:r>
        <w:rPr>
          <w:sz w:val="24"/>
          <w:szCs w:val="24"/>
        </w:rPr>
        <w:t>s.</w:t>
      </w:r>
    </w:p>
    <w:p w:rsidR="00566F2C" w:rsidRPr="0045211F" w:rsidP="00566F2C">
      <w:pPr>
        <w:spacing w:before="100" w:beforeAutospacing="1" w:after="100" w:afterAutospacing="1" w:line="276" w:lineRule="auto"/>
        <w:rPr>
          <w:sz w:val="24"/>
          <w:szCs w:val="24"/>
        </w:rPr>
      </w:pPr>
      <w:r w:rsidRPr="0045211F">
        <w:rPr>
          <w:b/>
          <w:bCs/>
          <w:sz w:val="24"/>
          <w:szCs w:val="24"/>
        </w:rPr>
        <w:t>II – FUNDAMENTAÇÃO LEGAL E PRERROGATIVA DO LEGISLADOR</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A competência municipal para instituir políticas públicas de saneamento básico encontra respaldo direto na Constituição Federal:</w:t>
      </w:r>
    </w:p>
    <w:p w:rsidR="00566F2C" w:rsidRPr="00642F8B" w:rsidP="00566F2C">
      <w:pPr>
        <w:spacing w:beforeAutospacing="1" w:after="100" w:afterAutospacing="1" w:line="276" w:lineRule="auto"/>
        <w:rPr>
          <w:i/>
          <w:sz w:val="24"/>
          <w:szCs w:val="24"/>
        </w:rPr>
      </w:pPr>
      <w:r>
        <w:rPr>
          <w:bCs/>
          <w:i/>
          <w:sz w:val="24"/>
          <w:szCs w:val="24"/>
        </w:rPr>
        <w:t xml:space="preserve">      </w:t>
      </w:r>
      <w:r w:rsidRPr="00642F8B">
        <w:rPr>
          <w:bCs/>
          <w:i/>
          <w:sz w:val="24"/>
          <w:szCs w:val="24"/>
        </w:rPr>
        <w:t>“Art. 23, IX – É competência comum […] promover programas de melhoria das condições de saneamento básico. ”</w:t>
      </w:r>
    </w:p>
    <w:p w:rsidR="00566F2C" w:rsidRPr="00642F8B" w:rsidP="00566F2C">
      <w:pPr>
        <w:spacing w:beforeAutospacing="1" w:after="100" w:afterAutospacing="1" w:line="276" w:lineRule="auto"/>
        <w:rPr>
          <w:i/>
          <w:sz w:val="24"/>
          <w:szCs w:val="24"/>
        </w:rPr>
      </w:pPr>
      <w:r>
        <w:rPr>
          <w:bCs/>
          <w:i/>
          <w:sz w:val="24"/>
          <w:szCs w:val="24"/>
        </w:rPr>
        <w:t xml:space="preserve">      </w:t>
      </w:r>
      <w:r w:rsidRPr="00642F8B">
        <w:rPr>
          <w:bCs/>
          <w:i/>
          <w:sz w:val="24"/>
          <w:szCs w:val="24"/>
        </w:rPr>
        <w:t>“Art. 30, I e V – Compete aos Municípios: I – legislar sobre assuntos de interesse local; […] V – organizar e prestar […] os serviços públicos de interesse local. ”</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A Lei Federal nº 11.445/2007, com redação dada pela Lei nº 14.026/2020, estabelece:</w:t>
      </w:r>
    </w:p>
    <w:p w:rsidR="00566F2C" w:rsidRPr="00642F8B" w:rsidP="00566F2C">
      <w:pPr>
        <w:spacing w:beforeAutospacing="1" w:after="100" w:afterAutospacing="1" w:line="276" w:lineRule="auto"/>
        <w:rPr>
          <w:i/>
          <w:sz w:val="24"/>
          <w:szCs w:val="24"/>
        </w:rPr>
      </w:pPr>
      <w:r>
        <w:rPr>
          <w:bCs/>
          <w:i/>
          <w:sz w:val="24"/>
          <w:szCs w:val="24"/>
        </w:rPr>
        <w:t xml:space="preserve">       </w:t>
      </w:r>
      <w:r w:rsidRPr="00642F8B">
        <w:rPr>
          <w:bCs/>
          <w:i/>
          <w:sz w:val="24"/>
          <w:szCs w:val="24"/>
        </w:rPr>
        <w:t>“Art. 2º […] os serviços públicos de saneamento básico serão prestados com base nos princípios fundamentais, entre eles a universalização do acesso e a sustentabilidade econômica e financeira. ”</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No âmbito da responsabilidade fiscal, dispõe a Lei Complementar nº 101/2000:</w:t>
      </w:r>
    </w:p>
    <w:p w:rsidR="00566F2C" w:rsidRPr="00642F8B" w:rsidP="00566F2C">
      <w:pPr>
        <w:spacing w:before="100" w:beforeAutospacing="1" w:after="100" w:afterAutospacing="1" w:line="276" w:lineRule="auto"/>
        <w:rPr>
          <w:sz w:val="24"/>
          <w:szCs w:val="24"/>
        </w:rPr>
      </w:pPr>
      <w:r>
        <w:rPr>
          <w:sz w:val="24"/>
          <w:szCs w:val="24"/>
        </w:rPr>
        <w:t xml:space="preserve">       </w:t>
      </w:r>
      <w:r w:rsidRPr="00642F8B">
        <w:rPr>
          <w:sz w:val="24"/>
          <w:szCs w:val="24"/>
        </w:rPr>
        <w:t>“ Art. 16. A criação, expansão ou aperfeiçoamento de ação governamental que acarrete aumento da despesa será acompanhado de:</w:t>
      </w:r>
    </w:p>
    <w:p w:rsidR="00566F2C" w:rsidRPr="00642F8B" w:rsidP="00566F2C">
      <w:pPr>
        <w:spacing w:before="100" w:beforeAutospacing="1" w:after="100" w:afterAutospacing="1" w:line="276" w:lineRule="auto"/>
        <w:rPr>
          <w:sz w:val="24"/>
          <w:szCs w:val="24"/>
        </w:rPr>
      </w:pPr>
      <w:r>
        <w:rPr>
          <w:sz w:val="24"/>
          <w:szCs w:val="24"/>
        </w:rPr>
        <w:t xml:space="preserve">       </w:t>
      </w:r>
      <w:r w:rsidRPr="00642F8B">
        <w:rPr>
          <w:sz w:val="24"/>
          <w:szCs w:val="24"/>
        </w:rPr>
        <w:t xml:space="preserve">I – </w:t>
      </w:r>
      <w:r w:rsidRPr="00642F8B">
        <w:rPr>
          <w:sz w:val="24"/>
          <w:szCs w:val="24"/>
        </w:rPr>
        <w:t>estimativa</w:t>
      </w:r>
      <w:r w:rsidRPr="00642F8B">
        <w:rPr>
          <w:sz w:val="24"/>
          <w:szCs w:val="24"/>
        </w:rPr>
        <w:t xml:space="preserve"> do impacto orçamentário-financeiro no exercício em que entrar em vigor e nos dois subsequentes;</w:t>
      </w:r>
    </w:p>
    <w:p w:rsidR="00566F2C" w:rsidRPr="00642F8B" w:rsidP="00566F2C">
      <w:pPr>
        <w:spacing w:before="100" w:beforeAutospacing="1" w:after="100" w:afterAutospacing="1" w:line="276" w:lineRule="auto"/>
        <w:rPr>
          <w:sz w:val="24"/>
          <w:szCs w:val="24"/>
        </w:rPr>
      </w:pPr>
      <w:r>
        <w:rPr>
          <w:sz w:val="24"/>
          <w:szCs w:val="24"/>
        </w:rPr>
        <w:t xml:space="preserve">       </w:t>
      </w:r>
      <w:r w:rsidRPr="00642F8B">
        <w:rPr>
          <w:sz w:val="24"/>
          <w:szCs w:val="24"/>
        </w:rPr>
        <w:t xml:space="preserve">II – </w:t>
      </w:r>
      <w:r w:rsidRPr="00642F8B">
        <w:rPr>
          <w:sz w:val="24"/>
          <w:szCs w:val="24"/>
        </w:rPr>
        <w:t>declaração</w:t>
      </w:r>
      <w:r w:rsidRPr="00642F8B">
        <w:rPr>
          <w:sz w:val="24"/>
          <w:szCs w:val="24"/>
        </w:rPr>
        <w:t xml:space="preserve"> do ordenador de despesas de que o aumento te adequação orçamentária e financeira com a lei orçamentária e compatibilidade com o plano plurianual a lei de diretrizes orçamentarias. ” </w:t>
      </w:r>
    </w:p>
    <w:p w:rsidR="00566F2C" w:rsidRPr="0045211F" w:rsidP="00566F2C">
      <w:pPr>
        <w:spacing w:beforeAutospacing="1" w:after="100" w:afterAutospacing="1" w:line="276" w:lineRule="auto"/>
        <w:rPr>
          <w:sz w:val="24"/>
          <w:szCs w:val="24"/>
        </w:rPr>
      </w:pPr>
      <w:r>
        <w:rPr>
          <w:sz w:val="24"/>
          <w:szCs w:val="24"/>
        </w:rPr>
        <w:t xml:space="preserve">       </w:t>
      </w:r>
      <w:r w:rsidRPr="0045211F">
        <w:rPr>
          <w:sz w:val="24"/>
          <w:szCs w:val="24"/>
        </w:rPr>
        <w:t>No plano municipal, a Lei Complementar nº 381/2024 dispõe:</w:t>
      </w:r>
    </w:p>
    <w:p w:rsidR="00566F2C" w:rsidRPr="00642F8B" w:rsidP="00566F2C">
      <w:pPr>
        <w:spacing w:beforeAutospacing="1" w:after="100" w:afterAutospacing="1" w:line="276" w:lineRule="auto"/>
        <w:rPr>
          <w:i/>
          <w:sz w:val="24"/>
          <w:szCs w:val="24"/>
        </w:rPr>
      </w:pPr>
      <w:r>
        <w:rPr>
          <w:bCs/>
          <w:i/>
          <w:sz w:val="24"/>
          <w:szCs w:val="24"/>
        </w:rPr>
        <w:t xml:space="preserve">      </w:t>
      </w:r>
      <w:r w:rsidRPr="00642F8B">
        <w:rPr>
          <w:bCs/>
          <w:i/>
          <w:sz w:val="24"/>
          <w:szCs w:val="24"/>
        </w:rPr>
        <w:t>“Art. 5º, § 2º – estabelece a obrigatoriedade da implementação do plano municipal de saneamento rural. ”</w:t>
      </w:r>
    </w:p>
    <w:p w:rsidR="00566F2C" w:rsidP="00566F2C">
      <w:pPr>
        <w:spacing w:beforeAutospacing="1" w:after="100" w:afterAutospacing="1" w:line="276" w:lineRule="auto"/>
        <w:rPr>
          <w:b/>
          <w:bCs/>
          <w:sz w:val="24"/>
          <w:szCs w:val="24"/>
        </w:rPr>
      </w:pPr>
      <w:r w:rsidRPr="00512E83">
        <w:rPr>
          <w:b/>
          <w:bCs/>
          <w:sz w:val="24"/>
          <w:szCs w:val="24"/>
        </w:rPr>
        <w:t>III – ATRIB</w:t>
      </w:r>
      <w:r>
        <w:rPr>
          <w:b/>
          <w:bCs/>
          <w:sz w:val="24"/>
          <w:szCs w:val="24"/>
        </w:rPr>
        <w:t>UIÇÕES DAS COMISSÕES PERMANENTE</w:t>
      </w:r>
    </w:p>
    <w:p w:rsidR="00566F2C" w:rsidRPr="00642F8B" w:rsidP="00566F2C">
      <w:pPr>
        <w:spacing w:beforeAutospacing="1" w:after="100" w:afterAutospacing="1" w:line="276" w:lineRule="auto"/>
        <w:rPr>
          <w:sz w:val="24"/>
          <w:szCs w:val="24"/>
          <w:u w:val="single"/>
        </w:rPr>
      </w:pPr>
      <w:r w:rsidRPr="00642F8B">
        <w:rPr>
          <w:bCs/>
          <w:sz w:val="24"/>
          <w:szCs w:val="24"/>
          <w:u w:val="single"/>
        </w:rPr>
        <w:t>1. Comissão de Exames de Assuntos Industriais e Comerciais</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Nos termos da Resolução nº 231/2000, compete a esta Comissão analisar matérias que impactem o desenvolvimento econômico, industrial e comercial do Município.</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O saneamento rural constitui elemento estruturante para o desenvolvimento produtivo, especialmente no tocante à viabilidade de atividades agroindustriais, comércio rural e cadeias produtivas locais, sendo fator determinante para a sustentabilidade econômica das áreas rurais.</w:t>
      </w:r>
    </w:p>
    <w:p w:rsidR="00566F2C" w:rsidRPr="00642F8B" w:rsidP="00566F2C">
      <w:pPr>
        <w:spacing w:before="100" w:beforeAutospacing="1" w:after="100" w:afterAutospacing="1" w:line="276" w:lineRule="auto"/>
        <w:rPr>
          <w:sz w:val="24"/>
          <w:szCs w:val="24"/>
          <w:u w:val="single"/>
        </w:rPr>
      </w:pPr>
      <w:r w:rsidRPr="00642F8B">
        <w:rPr>
          <w:bCs/>
          <w:sz w:val="24"/>
          <w:szCs w:val="24"/>
          <w:u w:val="single"/>
        </w:rPr>
        <w:t>2. Comissão de Finanças e Orçamento</w:t>
      </w:r>
    </w:p>
    <w:p w:rsidR="00566F2C" w:rsidRPr="0045211F" w:rsidP="00566F2C">
      <w:pPr>
        <w:spacing w:before="100" w:beforeAutospacing="1" w:after="100" w:afterAutospacing="1"/>
        <w:rPr>
          <w:sz w:val="24"/>
          <w:szCs w:val="24"/>
        </w:rPr>
      </w:pPr>
      <w:r>
        <w:rPr>
          <w:sz w:val="24"/>
          <w:szCs w:val="24"/>
        </w:rPr>
        <w:t xml:space="preserve">      </w:t>
      </w:r>
      <w:r w:rsidRPr="0045211F">
        <w:rPr>
          <w:sz w:val="24"/>
          <w:szCs w:val="24"/>
        </w:rPr>
        <w:t>Nos termos da Resolução nº 276/2010:</w:t>
      </w:r>
    </w:p>
    <w:p w:rsidR="00566F2C" w:rsidRPr="00642F8B" w:rsidP="00566F2C">
      <w:pPr>
        <w:spacing w:beforeAutospacing="1" w:after="100" w:afterAutospacing="1"/>
        <w:rPr>
          <w:bCs/>
          <w:sz w:val="24"/>
          <w:szCs w:val="24"/>
        </w:rPr>
      </w:pPr>
      <w:r>
        <w:rPr>
          <w:bCs/>
          <w:sz w:val="24"/>
          <w:szCs w:val="24"/>
        </w:rPr>
        <w:t xml:space="preserve">       </w:t>
      </w:r>
      <w:r w:rsidRPr="00642F8B">
        <w:rPr>
          <w:bCs/>
          <w:sz w:val="24"/>
          <w:szCs w:val="24"/>
        </w:rPr>
        <w:t>“Art. 37. Compete à Comissão de Finanças e Orçamento, obrigatoriamente, emitir parecer sobre todos os assuntos de caráter financeiro e orçamentário, em especial sobre:</w:t>
      </w:r>
    </w:p>
    <w:p w:rsidR="00566F2C" w:rsidRPr="00642F8B" w:rsidP="00566F2C">
      <w:pPr>
        <w:spacing w:beforeAutospacing="1" w:after="100" w:afterAutospacing="1"/>
        <w:rPr>
          <w:bCs/>
          <w:sz w:val="24"/>
          <w:szCs w:val="24"/>
        </w:rPr>
      </w:pPr>
      <w:r>
        <w:rPr>
          <w:bCs/>
          <w:sz w:val="24"/>
          <w:szCs w:val="24"/>
        </w:rPr>
        <w:t xml:space="preserve">       </w:t>
      </w:r>
      <w:r w:rsidRPr="00642F8B">
        <w:rPr>
          <w:bCs/>
          <w:sz w:val="24"/>
          <w:szCs w:val="24"/>
        </w:rPr>
        <w:t xml:space="preserve">I – </w:t>
      </w:r>
      <w:r w:rsidRPr="00642F8B">
        <w:rPr>
          <w:bCs/>
          <w:sz w:val="24"/>
          <w:szCs w:val="24"/>
        </w:rPr>
        <w:t>o</w:t>
      </w:r>
      <w:r w:rsidRPr="00642F8B">
        <w:rPr>
          <w:bCs/>
          <w:sz w:val="24"/>
          <w:szCs w:val="24"/>
        </w:rPr>
        <w:t xml:space="preserve"> plano plurianual;</w:t>
      </w:r>
    </w:p>
    <w:p w:rsidR="00566F2C" w:rsidRPr="00642F8B" w:rsidP="00566F2C">
      <w:pPr>
        <w:spacing w:beforeAutospacing="1" w:after="100" w:afterAutospacing="1"/>
        <w:rPr>
          <w:bCs/>
          <w:sz w:val="24"/>
          <w:szCs w:val="24"/>
        </w:rPr>
      </w:pPr>
      <w:r>
        <w:rPr>
          <w:bCs/>
          <w:sz w:val="24"/>
          <w:szCs w:val="24"/>
        </w:rPr>
        <w:t xml:space="preserve">       </w:t>
      </w:r>
      <w:r w:rsidRPr="00642F8B">
        <w:rPr>
          <w:bCs/>
          <w:sz w:val="24"/>
          <w:szCs w:val="24"/>
        </w:rPr>
        <w:t xml:space="preserve">II – </w:t>
      </w:r>
      <w:r w:rsidRPr="00642F8B">
        <w:rPr>
          <w:bCs/>
          <w:sz w:val="24"/>
          <w:szCs w:val="24"/>
        </w:rPr>
        <w:t>as</w:t>
      </w:r>
      <w:r w:rsidRPr="00642F8B">
        <w:rPr>
          <w:bCs/>
          <w:sz w:val="24"/>
          <w:szCs w:val="24"/>
        </w:rPr>
        <w:t xml:space="preserve"> diretrizes orçamentárias;</w:t>
      </w:r>
    </w:p>
    <w:p w:rsidR="00566F2C" w:rsidRPr="00642F8B" w:rsidP="00566F2C">
      <w:pPr>
        <w:spacing w:beforeAutospacing="1" w:after="100" w:afterAutospacing="1"/>
        <w:rPr>
          <w:sz w:val="24"/>
          <w:szCs w:val="24"/>
        </w:rPr>
      </w:pPr>
      <w:r>
        <w:rPr>
          <w:bCs/>
          <w:sz w:val="24"/>
          <w:szCs w:val="24"/>
        </w:rPr>
        <w:t xml:space="preserve">       </w:t>
      </w:r>
      <w:r w:rsidRPr="00642F8B">
        <w:rPr>
          <w:bCs/>
          <w:sz w:val="24"/>
          <w:szCs w:val="24"/>
        </w:rPr>
        <w:t>III – o orçamento anual. ”</w:t>
      </w:r>
    </w:p>
    <w:p w:rsidR="00566F2C" w:rsidRPr="00642F8B" w:rsidP="00566F2C">
      <w:pPr>
        <w:spacing w:beforeAutospacing="1" w:after="100" w:afterAutospacing="1"/>
        <w:rPr>
          <w:sz w:val="24"/>
          <w:szCs w:val="24"/>
        </w:rPr>
      </w:pPr>
      <w:r>
        <w:rPr>
          <w:bCs/>
          <w:sz w:val="24"/>
          <w:szCs w:val="24"/>
        </w:rPr>
        <w:t xml:space="preserve">      </w:t>
      </w:r>
      <w:r w:rsidRPr="00642F8B">
        <w:rPr>
          <w:bCs/>
          <w:sz w:val="24"/>
          <w:szCs w:val="24"/>
        </w:rPr>
        <w:t>“Art. 54, inciso II, alínea ‘b’ – apreciação dos aspectos financeiros e orçamentários das proposições. ”</w:t>
      </w:r>
    </w:p>
    <w:p w:rsidR="00566F2C" w:rsidP="00566F2C">
      <w:pPr>
        <w:spacing w:before="100" w:beforeAutospacing="1" w:after="100" w:afterAutospacing="1"/>
        <w:rPr>
          <w:sz w:val="24"/>
          <w:szCs w:val="24"/>
        </w:rPr>
      </w:pPr>
      <w:r>
        <w:rPr>
          <w:sz w:val="24"/>
          <w:szCs w:val="24"/>
        </w:rPr>
        <w:t xml:space="preserve">      </w:t>
      </w:r>
      <w:r w:rsidRPr="0045211F">
        <w:rPr>
          <w:sz w:val="24"/>
          <w:szCs w:val="24"/>
        </w:rPr>
        <w:t>Cabe ainda a esta Comissão verificar a compatibilidade das proposições com o sistema orçamentário e a observância das normas de responsabilidade fiscal.</w:t>
      </w:r>
    </w:p>
    <w:p w:rsidR="00566F2C" w:rsidRPr="0045211F" w:rsidP="00566F2C">
      <w:pPr>
        <w:spacing w:before="100" w:beforeAutospacing="1" w:after="100" w:afterAutospacing="1"/>
        <w:rPr>
          <w:sz w:val="24"/>
          <w:szCs w:val="24"/>
        </w:rPr>
      </w:pPr>
      <w:r w:rsidRPr="00512E83">
        <w:rPr>
          <w:b/>
          <w:bCs/>
          <w:sz w:val="24"/>
          <w:szCs w:val="24"/>
        </w:rPr>
        <w:t>IV – ANÁLISE TÉCNICA SOB A ÓTICA FINANCEIRA E ORÇAMENTÁRIA</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 xml:space="preserve">A análise do Projeto de Lei Complementar nº 01/2026 revela tratar-se de </w:t>
      </w:r>
      <w:r w:rsidRPr="00642F8B">
        <w:rPr>
          <w:bCs/>
          <w:sz w:val="24"/>
          <w:szCs w:val="24"/>
        </w:rPr>
        <w:t>instrumento de planejamento público com impacto financeiro plurianual relevante</w:t>
      </w:r>
      <w:r w:rsidRPr="00642F8B">
        <w:rPr>
          <w:sz w:val="24"/>
          <w:szCs w:val="24"/>
        </w:rPr>
        <w:t>,</w:t>
      </w:r>
      <w:r>
        <w:rPr>
          <w:sz w:val="24"/>
          <w:szCs w:val="24"/>
        </w:rPr>
        <w:t xml:space="preserve"> considerando</w:t>
      </w:r>
    </w:p>
    <w:p w:rsidR="00566F2C" w:rsidRPr="000E7078" w:rsidP="00566F2C">
      <w:pPr>
        <w:spacing w:before="100" w:beforeAutospacing="1" w:after="100" w:afterAutospacing="1" w:line="276" w:lineRule="auto"/>
        <w:rPr>
          <w:sz w:val="24"/>
          <w:szCs w:val="24"/>
          <w:u w:val="single"/>
        </w:rPr>
      </w:pPr>
      <w:r w:rsidRPr="000E7078">
        <w:rPr>
          <w:bCs/>
          <w:sz w:val="24"/>
          <w:szCs w:val="24"/>
          <w:u w:val="single"/>
        </w:rPr>
        <w:t>1. Natureza do Impacto Orçamentário</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O PMSR implica:</w:t>
      </w:r>
    </w:p>
    <w:p w:rsidR="00566F2C"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criação</w:t>
      </w:r>
      <w:r w:rsidRPr="0045211F">
        <w:rPr>
          <w:sz w:val="24"/>
          <w:szCs w:val="24"/>
        </w:rPr>
        <w:t xml:space="preserve"> de despesas continuadas;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investimentos</w:t>
      </w:r>
      <w:r w:rsidRPr="0045211F">
        <w:rPr>
          <w:sz w:val="24"/>
          <w:szCs w:val="24"/>
        </w:rPr>
        <w:t xml:space="preserve"> em infraestrutura;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custos</w:t>
      </w:r>
      <w:r w:rsidRPr="0045211F">
        <w:rPr>
          <w:sz w:val="24"/>
          <w:szCs w:val="24"/>
        </w:rPr>
        <w:t xml:space="preserve"> operacionais e de manutenção;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metas</w:t>
      </w:r>
      <w:r w:rsidRPr="0045211F">
        <w:rPr>
          <w:sz w:val="24"/>
          <w:szCs w:val="24"/>
        </w:rPr>
        <w:t xml:space="preserve"> progressivas de universalização. </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Caracteriza-se, portanto, como política pública estruturante de longo prazo.</w:t>
      </w:r>
    </w:p>
    <w:p w:rsidR="00566F2C" w:rsidRPr="000E7078" w:rsidP="00566F2C">
      <w:pPr>
        <w:spacing w:before="100" w:beforeAutospacing="1" w:after="100" w:afterAutospacing="1" w:line="276" w:lineRule="auto"/>
        <w:rPr>
          <w:sz w:val="24"/>
          <w:szCs w:val="24"/>
          <w:u w:val="single"/>
        </w:rPr>
      </w:pPr>
      <w:r w:rsidRPr="000E7078">
        <w:rPr>
          <w:bCs/>
          <w:sz w:val="24"/>
          <w:szCs w:val="24"/>
          <w:u w:val="single"/>
        </w:rPr>
        <w:t>2. Compatibilidade com o Sistema Orçamentário</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A execução do PMSR deverá observar, obrigatoriamente:</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 xml:space="preserve">Plano Plurianual (PPA);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 xml:space="preserve">Lei de Diretrizes Orçamentárias (LDO);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 xml:space="preserve">Lei Orçamentária Anual (LOA). </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Sendo imprescindível que cada etapa do plano esteja devidamente prevista nos instrumentos de planejamento e orçamento.</w:t>
      </w:r>
    </w:p>
    <w:p w:rsidR="00C53CBB" w:rsidRPr="00B97326" w:rsidP="00566F2C">
      <w:pPr>
        <w:spacing w:before="100" w:beforeAutospacing="1" w:after="100" w:afterAutospacing="1" w:line="276" w:lineRule="auto"/>
        <w:rPr>
          <w:sz w:val="24"/>
          <w:szCs w:val="24"/>
        </w:rPr>
      </w:pPr>
      <w:r>
        <w:rPr>
          <w:sz w:val="24"/>
          <w:szCs w:val="24"/>
        </w:rPr>
        <w:t xml:space="preserve">      </w:t>
      </w:r>
      <w:r w:rsidRPr="00B97326">
        <w:rPr>
          <w:sz w:val="24"/>
          <w:szCs w:val="24"/>
        </w:rPr>
        <w:t>Faço saber, que foi juntada aos autos documentos, para fins de instrução, análise e subsidiar a emissã</w:t>
      </w:r>
      <w:r w:rsidRPr="00B97326" w:rsidR="00315A5B">
        <w:rPr>
          <w:sz w:val="24"/>
          <w:szCs w:val="24"/>
        </w:rPr>
        <w:t xml:space="preserve">o deste parecer por estas Comissões pertinentes; </w:t>
      </w:r>
    </w:p>
    <w:p w:rsidR="00315A5B" w:rsidRPr="00B97326" w:rsidP="00315A5B">
      <w:pPr>
        <w:spacing w:before="100" w:beforeAutospacing="1" w:after="100" w:afterAutospacing="1"/>
        <w:rPr>
          <w:sz w:val="24"/>
          <w:szCs w:val="24"/>
        </w:rPr>
      </w:pPr>
      <w:r w:rsidRPr="00B97326">
        <w:rPr>
          <w:sz w:val="24"/>
          <w:szCs w:val="24"/>
        </w:rPr>
        <w:t xml:space="preserve">      - Despacho nº 3242/2025 – Parecer Jurídico, referente ao Processo nº 001040.000088/2025-12, de interesse da Secretaria de Agricultura do Município de Mogi Mirim; </w:t>
      </w:r>
    </w:p>
    <w:p w:rsidR="00315A5B" w:rsidRPr="00B97326" w:rsidP="00315A5B">
      <w:pPr>
        <w:spacing w:before="100" w:beforeAutospacing="1" w:after="100" w:afterAutospacing="1" w:line="276" w:lineRule="auto"/>
        <w:rPr>
          <w:sz w:val="24"/>
          <w:szCs w:val="24"/>
        </w:rPr>
      </w:pPr>
      <w:r w:rsidRPr="00B97326">
        <w:rPr>
          <w:sz w:val="24"/>
          <w:szCs w:val="24"/>
        </w:rPr>
        <w:t xml:space="preserve">      - Certidão constante do Processo nº 001040.000088/2025-12, de interesse da Secretaria de Desenvolvimento Rural do Município de Mogi Mirim.</w:t>
      </w:r>
    </w:p>
    <w:p w:rsidR="00315A5B" w:rsidRPr="00B97326" w:rsidP="00315A5B">
      <w:pPr>
        <w:spacing w:before="100" w:beforeAutospacing="1" w:after="100" w:afterAutospacing="1" w:line="276" w:lineRule="auto"/>
        <w:rPr>
          <w:sz w:val="24"/>
          <w:szCs w:val="24"/>
        </w:rPr>
      </w:pPr>
      <w:r w:rsidRPr="00B97326">
        <w:rPr>
          <w:sz w:val="24"/>
          <w:szCs w:val="24"/>
        </w:rPr>
        <w:t xml:space="preserve">      Na qual ambos os documentos corroboram para o Projeto de Lei Complementar nº 1/2026 e seu parecer, que; não implicará aumento de despesas, podendo ser implementado dentro das limitações orçamentarias atuais, sem que gere impactos orçamentários nos exercícios futuros, desta forma, não havendo necessidade de revisão ou alteração na Lei nº 6989/2025 – Lei Orçamentária Anual, nem nos próximos três exercícios subsequentes</w:t>
      </w:r>
      <w:r w:rsidRPr="00B97326" w:rsidR="00EE5DD3">
        <w:rPr>
          <w:sz w:val="24"/>
          <w:szCs w:val="24"/>
        </w:rPr>
        <w:t xml:space="preserve"> para sua implementação.</w:t>
      </w:r>
      <w:r w:rsidRPr="00B97326">
        <w:rPr>
          <w:sz w:val="24"/>
          <w:szCs w:val="24"/>
        </w:rPr>
        <w:t xml:space="preserve">   </w:t>
      </w:r>
    </w:p>
    <w:p w:rsidR="00566F2C" w:rsidRPr="000E7078" w:rsidP="00566F2C">
      <w:pPr>
        <w:spacing w:before="100" w:beforeAutospacing="1" w:after="100" w:afterAutospacing="1" w:line="276" w:lineRule="auto"/>
        <w:rPr>
          <w:sz w:val="24"/>
          <w:szCs w:val="24"/>
          <w:u w:val="single"/>
        </w:rPr>
      </w:pPr>
      <w:r w:rsidRPr="000E7078">
        <w:rPr>
          <w:bCs/>
          <w:sz w:val="24"/>
          <w:szCs w:val="24"/>
          <w:u w:val="single"/>
        </w:rPr>
        <w:t>3. Exigências da Lei de Responsabilidade Fiscal</w:t>
      </w:r>
      <w:r>
        <w:rPr>
          <w:bCs/>
          <w:sz w:val="24"/>
          <w:szCs w:val="24"/>
          <w:u w:val="single"/>
        </w:rPr>
        <w:t xml:space="preserve"> – Síntese dos cenários (Anexo II)  </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Nos termos do art. 16 da LRF, a implementação do PMSR exige:</w:t>
      </w:r>
    </w:p>
    <w:p w:rsidR="00566F2C" w:rsidRPr="000E7078" w:rsidP="00722D27">
      <w:pPr>
        <w:spacing w:before="100" w:beforeAutospacing="1" w:after="100" w:afterAutospacing="1" w:line="276" w:lineRule="auto"/>
        <w:jc w:val="left"/>
        <w:rPr>
          <w:sz w:val="24"/>
          <w:szCs w:val="24"/>
        </w:rPr>
      </w:pPr>
      <w:r>
        <w:rPr>
          <w:sz w:val="24"/>
          <w:szCs w:val="24"/>
        </w:rPr>
        <w:t xml:space="preserve">      - </w:t>
      </w:r>
      <w:r w:rsidRPr="000E7078">
        <w:rPr>
          <w:sz w:val="24"/>
          <w:szCs w:val="24"/>
        </w:rPr>
        <w:t>estimativa</w:t>
      </w:r>
      <w:r w:rsidRPr="000E7078">
        <w:rPr>
          <w:sz w:val="24"/>
          <w:szCs w:val="24"/>
        </w:rPr>
        <w:t xml:space="preserve"> de impacto orçamentário-financeiro; </w:t>
      </w:r>
    </w:p>
    <w:p w:rsidR="00566F2C" w:rsidRPr="000E7078" w:rsidP="00722D27">
      <w:pPr>
        <w:spacing w:before="100" w:beforeAutospacing="1" w:after="100" w:afterAutospacing="1" w:line="276" w:lineRule="auto"/>
        <w:jc w:val="left"/>
        <w:rPr>
          <w:sz w:val="24"/>
          <w:szCs w:val="24"/>
        </w:rPr>
      </w:pPr>
      <w:r>
        <w:rPr>
          <w:sz w:val="24"/>
          <w:szCs w:val="24"/>
        </w:rPr>
        <w:t xml:space="preserve">      - </w:t>
      </w:r>
      <w:r w:rsidRPr="000E7078">
        <w:rPr>
          <w:sz w:val="24"/>
          <w:szCs w:val="24"/>
        </w:rPr>
        <w:t>indicação</w:t>
      </w:r>
      <w:r w:rsidRPr="000E7078">
        <w:rPr>
          <w:sz w:val="24"/>
          <w:szCs w:val="24"/>
        </w:rPr>
        <w:t xml:space="preserve"> da fonte de custeio; </w:t>
      </w:r>
    </w:p>
    <w:p w:rsidR="00566F2C" w:rsidRPr="000E7078" w:rsidP="00722D27">
      <w:pPr>
        <w:spacing w:before="100" w:beforeAutospacing="1" w:after="100" w:afterAutospacing="1" w:line="276" w:lineRule="auto"/>
        <w:jc w:val="left"/>
        <w:rPr>
          <w:sz w:val="24"/>
          <w:szCs w:val="24"/>
        </w:rPr>
      </w:pPr>
      <w:r>
        <w:rPr>
          <w:sz w:val="24"/>
          <w:szCs w:val="24"/>
        </w:rPr>
        <w:t xml:space="preserve">      - </w:t>
      </w:r>
      <w:r w:rsidRPr="000E7078">
        <w:rPr>
          <w:sz w:val="24"/>
          <w:szCs w:val="24"/>
        </w:rPr>
        <w:t>compatibilidade</w:t>
      </w:r>
      <w:r w:rsidRPr="000E7078">
        <w:rPr>
          <w:sz w:val="24"/>
          <w:szCs w:val="24"/>
        </w:rPr>
        <w:t xml:space="preserve"> com as metas fiscais</w:t>
      </w:r>
      <w:r>
        <w:rPr>
          <w:sz w:val="24"/>
          <w:szCs w:val="24"/>
        </w:rPr>
        <w:t>.</w:t>
      </w:r>
    </w:p>
    <w:p w:rsidR="00566F2C" w:rsidRPr="00A4233E" w:rsidP="00566F2C">
      <w:pPr>
        <w:spacing w:before="100" w:beforeAutospacing="1" w:after="100" w:afterAutospacing="1" w:line="276" w:lineRule="auto"/>
        <w:rPr>
          <w:sz w:val="24"/>
          <w:szCs w:val="24"/>
        </w:rPr>
      </w:pPr>
      <w:r>
        <w:rPr>
          <w:sz w:val="24"/>
          <w:szCs w:val="24"/>
        </w:rPr>
        <w:t xml:space="preserve">      </w:t>
      </w:r>
      <w:r w:rsidRPr="00A4233E">
        <w:rPr>
          <w:sz w:val="24"/>
          <w:szCs w:val="24"/>
        </w:rPr>
        <w:t>A consolidação das simulações técnicas indica:</w:t>
      </w:r>
    </w:p>
    <w:p w:rsidR="00566F2C" w:rsidRPr="00722D27" w:rsidP="00722D27">
      <w:pPr>
        <w:spacing w:before="100" w:beforeAutospacing="1" w:after="100" w:afterAutospacing="1" w:line="276" w:lineRule="auto"/>
        <w:jc w:val="left"/>
        <w:rPr>
          <w:sz w:val="24"/>
          <w:szCs w:val="24"/>
        </w:rPr>
      </w:pPr>
      <w:r>
        <w:rPr>
          <w:sz w:val="24"/>
          <w:szCs w:val="24"/>
        </w:rPr>
        <w:t xml:space="preserve">      </w:t>
      </w:r>
      <w:r w:rsidRPr="00722D27">
        <w:rPr>
          <w:sz w:val="24"/>
          <w:szCs w:val="24"/>
        </w:rPr>
        <w:t xml:space="preserve">- </w:t>
      </w:r>
      <w:r w:rsidRPr="00722D27">
        <w:rPr>
          <w:sz w:val="24"/>
          <w:szCs w:val="24"/>
        </w:rPr>
        <w:t>Cenário Conservador: baixo impacto fiscal e execução gradual;</w:t>
      </w:r>
    </w:p>
    <w:p w:rsidR="00566F2C" w:rsidRPr="00722D27" w:rsidP="00722D27">
      <w:pPr>
        <w:spacing w:before="100" w:beforeAutospacing="1" w:after="100" w:afterAutospacing="1" w:line="276" w:lineRule="auto"/>
        <w:jc w:val="left"/>
        <w:rPr>
          <w:sz w:val="24"/>
          <w:szCs w:val="24"/>
        </w:rPr>
      </w:pPr>
      <w:r>
        <w:rPr>
          <w:sz w:val="24"/>
          <w:szCs w:val="24"/>
        </w:rPr>
        <w:t xml:space="preserve">      </w:t>
      </w:r>
      <w:r w:rsidRPr="00722D27">
        <w:rPr>
          <w:sz w:val="24"/>
          <w:szCs w:val="24"/>
        </w:rPr>
        <w:t xml:space="preserve">- </w:t>
      </w:r>
      <w:r w:rsidRPr="00722D27">
        <w:rPr>
          <w:sz w:val="24"/>
          <w:szCs w:val="24"/>
        </w:rPr>
        <w:t xml:space="preserve">Cenário Moderado: equilíbrio entre investimento e capacidade financeira;  </w:t>
      </w:r>
    </w:p>
    <w:p w:rsidR="00566F2C" w:rsidRPr="00722D27" w:rsidP="00722D27">
      <w:pPr>
        <w:spacing w:before="100" w:beforeAutospacing="1" w:after="100" w:afterAutospacing="1" w:line="276" w:lineRule="auto"/>
        <w:jc w:val="left"/>
        <w:rPr>
          <w:sz w:val="24"/>
          <w:szCs w:val="24"/>
        </w:rPr>
      </w:pPr>
      <w:r>
        <w:rPr>
          <w:sz w:val="24"/>
          <w:szCs w:val="24"/>
        </w:rPr>
        <w:t xml:space="preserve">      </w:t>
      </w:r>
      <w:r w:rsidRPr="00722D27">
        <w:rPr>
          <w:sz w:val="24"/>
          <w:szCs w:val="24"/>
        </w:rPr>
        <w:t xml:space="preserve">- </w:t>
      </w:r>
      <w:r w:rsidRPr="00722D27">
        <w:rPr>
          <w:sz w:val="24"/>
          <w:szCs w:val="24"/>
        </w:rPr>
        <w:t>Cenário Expansivo: maior impacto exigindo controle rigoroso.</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A ausência de tais elementos poderá comprometer a regular execução da política pública.</w:t>
      </w:r>
    </w:p>
    <w:p w:rsidR="00566F2C" w:rsidRPr="00A4233E" w:rsidP="00566F2C">
      <w:pPr>
        <w:spacing w:before="100" w:beforeAutospacing="1" w:after="100" w:afterAutospacing="1" w:line="276" w:lineRule="auto"/>
        <w:rPr>
          <w:sz w:val="24"/>
          <w:szCs w:val="24"/>
          <w:u w:val="single"/>
        </w:rPr>
      </w:pPr>
      <w:r w:rsidRPr="00A4233E">
        <w:rPr>
          <w:bCs/>
          <w:sz w:val="24"/>
          <w:szCs w:val="24"/>
          <w:u w:val="single"/>
        </w:rPr>
        <w:t>4. Sustentabilidade Econômico-Financeira</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A viabilidade do plano depende de:</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recursos</w:t>
      </w:r>
      <w:r w:rsidRPr="0045211F">
        <w:rPr>
          <w:sz w:val="24"/>
          <w:szCs w:val="24"/>
        </w:rPr>
        <w:t xml:space="preserve"> próprios do Município;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transferências</w:t>
      </w:r>
      <w:r w:rsidRPr="0045211F">
        <w:rPr>
          <w:sz w:val="24"/>
          <w:szCs w:val="24"/>
        </w:rPr>
        <w:t xml:space="preserve"> intergovernamentais;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convênios</w:t>
      </w:r>
      <w:r w:rsidRPr="0045211F">
        <w:rPr>
          <w:sz w:val="24"/>
          <w:szCs w:val="24"/>
        </w:rPr>
        <w:t xml:space="preserve"> com União e Estado;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captação</w:t>
      </w:r>
      <w:r w:rsidRPr="0045211F">
        <w:rPr>
          <w:sz w:val="24"/>
          <w:szCs w:val="24"/>
        </w:rPr>
        <w:t xml:space="preserve"> de recursos externos;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programas</w:t>
      </w:r>
      <w:r w:rsidRPr="0045211F">
        <w:rPr>
          <w:sz w:val="24"/>
          <w:szCs w:val="24"/>
        </w:rPr>
        <w:t xml:space="preserve"> federais, como o Programa Nacional de Saneamento Rural (PNSR). </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Destaca-se que a diversificação das fontes de financiamento é condição essencial para evitar sobrecarga no orçamento municipal</w:t>
      </w:r>
      <w:r>
        <w:rPr>
          <w:sz w:val="24"/>
          <w:szCs w:val="24"/>
        </w:rPr>
        <w:t>, que atende às exigências de planejamento público e racionalidade na alocação de recursos</w:t>
      </w:r>
      <w:r w:rsidRPr="0045211F">
        <w:rPr>
          <w:sz w:val="24"/>
          <w:szCs w:val="24"/>
        </w:rPr>
        <w:t>.</w:t>
      </w:r>
    </w:p>
    <w:p w:rsidR="00566F2C" w:rsidRPr="00C86951" w:rsidP="00566F2C">
      <w:pPr>
        <w:spacing w:before="100" w:beforeAutospacing="1" w:after="100" w:afterAutospacing="1" w:line="276" w:lineRule="auto"/>
        <w:rPr>
          <w:sz w:val="24"/>
          <w:szCs w:val="24"/>
          <w:u w:val="single"/>
        </w:rPr>
      </w:pPr>
      <w:r w:rsidRPr="00C86951">
        <w:rPr>
          <w:bCs/>
          <w:sz w:val="24"/>
          <w:szCs w:val="24"/>
          <w:u w:val="single"/>
        </w:rPr>
        <w:t>5. Riscos Fiscais Identificados</w:t>
      </w:r>
      <w:r>
        <w:rPr>
          <w:bCs/>
          <w:sz w:val="24"/>
          <w:szCs w:val="24"/>
          <w:u w:val="single"/>
        </w:rPr>
        <w:t xml:space="preserve">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impacto</w:t>
      </w:r>
      <w:r w:rsidRPr="0045211F">
        <w:rPr>
          <w:sz w:val="24"/>
          <w:szCs w:val="24"/>
        </w:rPr>
        <w:t xml:space="preserve"> progressivo nas contas públicas;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dependência</w:t>
      </w:r>
      <w:r w:rsidRPr="0045211F">
        <w:rPr>
          <w:sz w:val="24"/>
          <w:szCs w:val="24"/>
        </w:rPr>
        <w:t xml:space="preserve"> de receitas externas; </w:t>
      </w:r>
    </w:p>
    <w:p w:rsidR="00566F2C"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aumento</w:t>
      </w:r>
      <w:r w:rsidRPr="0045211F">
        <w:rPr>
          <w:sz w:val="24"/>
          <w:szCs w:val="24"/>
        </w:rPr>
        <w:t xml:space="preserve"> de despesas obrigatórias de caráter continuado. </w:t>
      </w:r>
    </w:p>
    <w:p w:rsidR="00566F2C" w:rsidP="00566F2C">
      <w:pPr>
        <w:spacing w:before="100" w:beforeAutospacing="1" w:after="100" w:afterAutospacing="1" w:line="276" w:lineRule="auto"/>
        <w:rPr>
          <w:sz w:val="24"/>
          <w:szCs w:val="24"/>
        </w:rPr>
      </w:pPr>
      <w:r>
        <w:rPr>
          <w:sz w:val="24"/>
          <w:szCs w:val="24"/>
        </w:rPr>
        <w:t xml:space="preserve">      </w:t>
      </w:r>
      <w:r>
        <w:rPr>
          <w:sz w:val="24"/>
          <w:szCs w:val="24"/>
        </w:rPr>
        <w:t xml:space="preserve">Destaca-se: </w:t>
      </w:r>
    </w:p>
    <w:p w:rsidR="00566F2C" w:rsidRPr="00C86951" w:rsidP="00566F2C">
      <w:pPr>
        <w:spacing w:before="100" w:beforeAutospacing="1" w:after="100" w:afterAutospacing="1" w:line="276" w:lineRule="auto"/>
        <w:rPr>
          <w:sz w:val="24"/>
          <w:szCs w:val="24"/>
          <w:u w:val="single"/>
        </w:rPr>
      </w:pPr>
      <w:r>
        <w:rPr>
          <w:sz w:val="24"/>
          <w:szCs w:val="24"/>
        </w:rPr>
        <w:t xml:space="preserve">      </w:t>
      </w:r>
      <w:r>
        <w:rPr>
          <w:sz w:val="24"/>
          <w:szCs w:val="24"/>
        </w:rPr>
        <w:t xml:space="preserve">“A busca por recursos federais e estaduais [...] é fundamental para sustentabilidade </w:t>
      </w:r>
      <w:r w:rsidRPr="00C86951">
        <w:rPr>
          <w:sz w:val="24"/>
          <w:szCs w:val="24"/>
          <w:u w:val="single"/>
        </w:rPr>
        <w:t>financeira do PMSR. ”</w:t>
      </w:r>
    </w:p>
    <w:p w:rsidR="00566F2C" w:rsidRPr="00C86951" w:rsidP="00566F2C">
      <w:pPr>
        <w:spacing w:before="100" w:beforeAutospacing="1" w:after="100" w:afterAutospacing="1" w:line="276" w:lineRule="auto"/>
        <w:rPr>
          <w:sz w:val="24"/>
          <w:szCs w:val="24"/>
          <w:u w:val="single"/>
        </w:rPr>
      </w:pPr>
      <w:r w:rsidRPr="00C86951">
        <w:rPr>
          <w:bCs/>
          <w:sz w:val="24"/>
          <w:szCs w:val="24"/>
          <w:u w:val="single"/>
        </w:rPr>
        <w:t>6. Medidas de Controle e Fiscalização</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compatibilização</w:t>
      </w:r>
      <w:r w:rsidRPr="0045211F">
        <w:rPr>
          <w:sz w:val="24"/>
          <w:szCs w:val="24"/>
        </w:rPr>
        <w:t xml:space="preserve"> permanente com os instrumentos orçamentários; </w:t>
      </w:r>
    </w:p>
    <w:p w:rsidR="00566F2C" w:rsidRPr="0045211F" w:rsidP="00722D27">
      <w:pPr>
        <w:spacing w:before="100" w:beforeAutospacing="1" w:after="100" w:afterAutospacing="1" w:line="276" w:lineRule="auto"/>
        <w:jc w:val="left"/>
        <w:rPr>
          <w:sz w:val="24"/>
          <w:szCs w:val="24"/>
        </w:rPr>
      </w:pPr>
      <w:r>
        <w:rPr>
          <w:sz w:val="24"/>
          <w:szCs w:val="24"/>
        </w:rPr>
        <w:t xml:space="preserve">      - </w:t>
      </w:r>
      <w:r w:rsidRPr="0045211F">
        <w:rPr>
          <w:sz w:val="24"/>
          <w:szCs w:val="24"/>
        </w:rPr>
        <w:t>observância</w:t>
      </w:r>
      <w:r w:rsidRPr="0045211F">
        <w:rPr>
          <w:sz w:val="24"/>
          <w:szCs w:val="24"/>
        </w:rPr>
        <w:t xml:space="preserve"> rigorosa da Lei de Responsabilidade Fiscal; </w:t>
      </w:r>
    </w:p>
    <w:p w:rsidR="00B56F78" w:rsidP="00722D27">
      <w:pPr>
        <w:spacing w:before="100" w:beforeAutospacing="1" w:after="100" w:afterAutospacing="1" w:line="276" w:lineRule="auto"/>
        <w:jc w:val="left"/>
        <w:rPr>
          <w:sz w:val="24"/>
          <w:szCs w:val="24"/>
        </w:rPr>
      </w:pPr>
      <w:r>
        <w:rPr>
          <w:sz w:val="24"/>
          <w:szCs w:val="24"/>
        </w:rPr>
        <w:t xml:space="preserve">      - </w:t>
      </w:r>
      <w:r w:rsidRPr="0045211F" w:rsidR="00566F2C">
        <w:rPr>
          <w:sz w:val="24"/>
          <w:szCs w:val="24"/>
        </w:rPr>
        <w:t>acompanhamento</w:t>
      </w:r>
      <w:r w:rsidRPr="0045211F" w:rsidR="00566F2C">
        <w:rPr>
          <w:sz w:val="24"/>
          <w:szCs w:val="24"/>
        </w:rPr>
        <w:t xml:space="preserve"> sistemático pela Comissão de Finanças e Orçamento; </w:t>
      </w:r>
    </w:p>
    <w:p w:rsidR="00566F2C" w:rsidRPr="00B56F78" w:rsidP="00722D27">
      <w:pPr>
        <w:spacing w:before="100" w:beforeAutospacing="1" w:after="100" w:afterAutospacing="1" w:line="276" w:lineRule="auto"/>
        <w:jc w:val="left"/>
        <w:rPr>
          <w:sz w:val="24"/>
          <w:szCs w:val="24"/>
        </w:rPr>
      </w:pPr>
      <w:r>
        <w:rPr>
          <w:sz w:val="24"/>
          <w:szCs w:val="24"/>
        </w:rPr>
        <w:t xml:space="preserve">      - </w:t>
      </w:r>
      <w:r w:rsidRPr="00B56F78">
        <w:rPr>
          <w:sz w:val="24"/>
          <w:szCs w:val="24"/>
        </w:rPr>
        <w:t>controle</w:t>
      </w:r>
      <w:r w:rsidRPr="00B56F78">
        <w:rPr>
          <w:sz w:val="24"/>
          <w:szCs w:val="24"/>
        </w:rPr>
        <w:t xml:space="preserve"> da execução física e financeira das metas. </w:t>
      </w:r>
    </w:p>
    <w:p w:rsidR="00566F2C" w:rsidRPr="0045211F" w:rsidP="00566F2C">
      <w:pPr>
        <w:spacing w:before="100" w:beforeAutospacing="1" w:after="100" w:afterAutospacing="1"/>
        <w:rPr>
          <w:sz w:val="24"/>
          <w:szCs w:val="24"/>
        </w:rPr>
      </w:pPr>
      <w:r>
        <w:rPr>
          <w:b/>
          <w:sz w:val="24"/>
          <w:szCs w:val="24"/>
        </w:rPr>
        <w:t xml:space="preserve">V - </w:t>
      </w:r>
      <w:r w:rsidRPr="00B94425">
        <w:rPr>
          <w:b/>
          <w:bCs/>
          <w:sz w:val="24"/>
          <w:szCs w:val="24"/>
        </w:rPr>
        <w:t>FUNDAMENTAÇÃO JURISPRUDENCIAL (STF E TCE-SP)</w:t>
      </w:r>
    </w:p>
    <w:p w:rsidR="00566F2C" w:rsidP="00566F2C">
      <w:pPr>
        <w:spacing w:before="100" w:beforeAutospacing="1" w:after="100" w:afterAutospacing="1" w:line="276" w:lineRule="auto"/>
        <w:rPr>
          <w:sz w:val="24"/>
          <w:szCs w:val="24"/>
        </w:rPr>
      </w:pPr>
      <w:r>
        <w:rPr>
          <w:sz w:val="24"/>
          <w:szCs w:val="24"/>
        </w:rPr>
        <w:t xml:space="preserve">      </w:t>
      </w:r>
      <w:r w:rsidRPr="0045211F">
        <w:rPr>
          <w:sz w:val="24"/>
          <w:szCs w:val="24"/>
        </w:rPr>
        <w:t>Com o objetivo de conferir maior robustez técnica à análise financeira e orçamentária da proposição, destacam-se os seguintes entendimentos jurisprudenciais aplicáveis:</w:t>
      </w:r>
    </w:p>
    <w:p w:rsidR="00566F2C" w:rsidRPr="00C86951" w:rsidP="00566F2C">
      <w:pPr>
        <w:spacing w:before="100" w:beforeAutospacing="1" w:after="100" w:afterAutospacing="1" w:line="276" w:lineRule="auto"/>
        <w:rPr>
          <w:sz w:val="24"/>
          <w:szCs w:val="24"/>
          <w:u w:val="single"/>
        </w:rPr>
      </w:pPr>
      <w:r w:rsidRPr="00C86951">
        <w:rPr>
          <w:bCs/>
          <w:sz w:val="24"/>
          <w:szCs w:val="24"/>
          <w:u w:val="single"/>
        </w:rPr>
        <w:t>1. SUPREMO TRIBUNAL FEDERAL (STF)</w:t>
      </w:r>
    </w:p>
    <w:p w:rsidR="00566F2C" w:rsidP="00566F2C">
      <w:pPr>
        <w:spacing w:before="100" w:beforeAutospacing="1" w:after="100" w:afterAutospacing="1" w:line="276" w:lineRule="auto"/>
        <w:rPr>
          <w:bCs/>
          <w:sz w:val="24"/>
          <w:szCs w:val="24"/>
        </w:rPr>
      </w:pPr>
      <w:r>
        <w:rPr>
          <w:bCs/>
          <w:sz w:val="24"/>
          <w:szCs w:val="24"/>
        </w:rPr>
        <w:t xml:space="preserve">      </w:t>
      </w:r>
      <w:r w:rsidRPr="00C86951">
        <w:rPr>
          <w:bCs/>
          <w:sz w:val="24"/>
          <w:szCs w:val="24"/>
        </w:rPr>
        <w:t>a)</w:t>
      </w:r>
      <w:r w:rsidRPr="0045211F">
        <w:rPr>
          <w:b/>
          <w:bCs/>
          <w:sz w:val="24"/>
          <w:szCs w:val="24"/>
        </w:rPr>
        <w:t xml:space="preserve"> </w:t>
      </w:r>
      <w:r w:rsidRPr="00C86951">
        <w:rPr>
          <w:bCs/>
          <w:sz w:val="24"/>
          <w:szCs w:val="24"/>
        </w:rPr>
        <w:t>Necessidade de observância da responsabilidade fiscal</w:t>
      </w:r>
    </w:p>
    <w:p w:rsidR="00566F2C" w:rsidRPr="00C86951" w:rsidP="00566F2C">
      <w:pPr>
        <w:spacing w:before="100" w:beforeAutospacing="1" w:after="100" w:afterAutospacing="1" w:line="276" w:lineRule="auto"/>
        <w:jc w:val="left"/>
        <w:rPr>
          <w:bCs/>
          <w:sz w:val="24"/>
          <w:szCs w:val="24"/>
        </w:rPr>
      </w:pPr>
      <w:r>
        <w:rPr>
          <w:bCs/>
          <w:sz w:val="24"/>
          <w:szCs w:val="24"/>
        </w:rPr>
        <w:t xml:space="preserve">      </w:t>
      </w:r>
      <w:r w:rsidRPr="00C86951">
        <w:rPr>
          <w:bCs/>
          <w:sz w:val="24"/>
          <w:szCs w:val="24"/>
        </w:rPr>
        <w:t>“A criação de despesa pública exige estimativa do impacto orçamentário-financeiro e indicação da respectiva fonte de custeio, sob pena de violação ao art. 169 da Constituição Federal e à Lei de Responsabilidade Fiscal” (STF – ADI 2.238/DF)</w:t>
      </w:r>
    </w:p>
    <w:p w:rsidR="00566F2C" w:rsidP="00566F2C">
      <w:pPr>
        <w:spacing w:line="276" w:lineRule="auto"/>
        <w:rPr>
          <w:bCs/>
          <w:sz w:val="24"/>
          <w:szCs w:val="24"/>
        </w:rPr>
      </w:pPr>
      <w:r>
        <w:rPr>
          <w:bCs/>
          <w:sz w:val="24"/>
          <w:szCs w:val="24"/>
        </w:rPr>
        <w:t xml:space="preserve">      </w:t>
      </w:r>
      <w:r w:rsidRPr="00C86951">
        <w:rPr>
          <w:bCs/>
          <w:sz w:val="24"/>
          <w:szCs w:val="24"/>
        </w:rPr>
        <w:t>b) Compatibilidade com o sistema orçamentário</w:t>
      </w:r>
    </w:p>
    <w:p w:rsidR="00B56F78" w:rsidP="00566F2C">
      <w:pPr>
        <w:spacing w:line="276" w:lineRule="auto"/>
        <w:rPr>
          <w:bCs/>
          <w:sz w:val="24"/>
          <w:szCs w:val="24"/>
        </w:rPr>
      </w:pPr>
    </w:p>
    <w:p w:rsidR="00566F2C" w:rsidRPr="00C86951" w:rsidP="00566F2C">
      <w:pPr>
        <w:spacing w:line="276" w:lineRule="auto"/>
        <w:rPr>
          <w:sz w:val="24"/>
          <w:szCs w:val="24"/>
        </w:rPr>
      </w:pPr>
      <w:r>
        <w:rPr>
          <w:bCs/>
          <w:sz w:val="24"/>
          <w:szCs w:val="24"/>
        </w:rPr>
        <w:t xml:space="preserve">      </w:t>
      </w:r>
      <w:r w:rsidRPr="00C86951">
        <w:rPr>
          <w:bCs/>
          <w:sz w:val="24"/>
          <w:szCs w:val="24"/>
        </w:rPr>
        <w:t>“A atuação estatal que implique aumento de despesas deve estar compatibilizada com o plano plurianual, e a lei de diretrizes orçamentárias e o orçamento anual, em respeito ao princípio do planejamento. ” (STF – ADI 3.716/DF)</w:t>
      </w:r>
    </w:p>
    <w:p w:rsidR="00566F2C" w:rsidRPr="00C86951" w:rsidP="00566F2C">
      <w:pPr>
        <w:spacing w:line="276" w:lineRule="auto"/>
        <w:rPr>
          <w:sz w:val="24"/>
          <w:szCs w:val="24"/>
        </w:rPr>
      </w:pPr>
    </w:p>
    <w:p w:rsidR="00566F2C" w:rsidRPr="00C86951" w:rsidP="00566F2C">
      <w:pPr>
        <w:spacing w:line="276" w:lineRule="auto"/>
        <w:rPr>
          <w:sz w:val="24"/>
          <w:szCs w:val="24"/>
        </w:rPr>
      </w:pPr>
      <w:r>
        <w:rPr>
          <w:bCs/>
          <w:sz w:val="24"/>
          <w:szCs w:val="24"/>
        </w:rPr>
        <w:t xml:space="preserve">      </w:t>
      </w:r>
      <w:r w:rsidRPr="00C86951">
        <w:rPr>
          <w:bCs/>
          <w:sz w:val="24"/>
          <w:szCs w:val="24"/>
        </w:rPr>
        <w:t>c) Titularidade e responsabilidade dos entes locais com sustentabilidade financeira</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“A prestação de serviços públicos de interesse local deve observar não apenas a competência administrativa do ente federado, mas também a viabilidade econômico-financeiro da política pública implementada. ” (STF – ADI 6.492/DF)</w:t>
      </w:r>
    </w:p>
    <w:p w:rsidR="00566F2C" w:rsidRPr="00C86951" w:rsidP="00566F2C">
      <w:pPr>
        <w:spacing w:beforeAutospacing="1" w:after="100" w:afterAutospacing="1" w:line="276" w:lineRule="auto"/>
        <w:rPr>
          <w:bCs/>
          <w:sz w:val="24"/>
          <w:szCs w:val="24"/>
          <w:u w:val="single"/>
        </w:rPr>
      </w:pPr>
      <w:r w:rsidRPr="00C86951">
        <w:rPr>
          <w:bCs/>
          <w:sz w:val="24"/>
          <w:szCs w:val="24"/>
          <w:u w:val="single"/>
        </w:rPr>
        <w:t>2. TRIBUNAL DE CONTAS DO ESTADO DE SÃO PAULO (TCE-SP)</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a) Obrigatoriedade de previsão orçamentária</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“A implementação de políticas públicas que impliquem geração de despesas deve estar precedida de adequar previsão nos instrumentos de planejamentos e orçamento, sob pena de afrontar aos princípios da responsabilidade fiscal e do equilíbrio das contas públicas. ”  (TCE-SP – TC – 000000/026/XX – entendimento consolidado)</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b) Vedação à criação de despesa sem estimativa de impacto</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 xml:space="preserve">“É irregular a criação de despesas sem a correspondente estimativa de impacto orçamentário-financeiro e sem a indicação da fonte de custeio, nos termos do art. 16 da Lei de Responsabilidade Fiscal. ” (TCE – SP – Jurisprudência consolidada) </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c) Planejamento como requisito de validade da despesa pública</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“O planejamento orçamentário constitui requisito essencial à validade da ação governamental, sendo indispensável a compatibilidade entre o PPA, a LDO e a LOA para a execução de programas públicos. ” (TCE – Súmula/Orientação reiterada em julgamento de contas anuais)</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d) Sustentabilidade fiscal de políticas públicas de longo prazo</w:t>
      </w:r>
    </w:p>
    <w:p w:rsidR="00566F2C" w:rsidRPr="00C86951" w:rsidP="00566F2C">
      <w:pPr>
        <w:spacing w:beforeAutospacing="1" w:after="100" w:afterAutospacing="1" w:line="276" w:lineRule="auto"/>
        <w:rPr>
          <w:bCs/>
          <w:sz w:val="24"/>
          <w:szCs w:val="24"/>
        </w:rPr>
      </w:pPr>
      <w:r>
        <w:rPr>
          <w:bCs/>
          <w:sz w:val="24"/>
          <w:szCs w:val="24"/>
        </w:rPr>
        <w:t xml:space="preserve">      </w:t>
      </w:r>
      <w:r w:rsidRPr="00C86951">
        <w:rPr>
          <w:bCs/>
          <w:sz w:val="24"/>
          <w:szCs w:val="24"/>
        </w:rPr>
        <w:t>“Programas de natureza continuada e de longo prazo exigem análise rigorosa de sustentabilidade fiscal, sob pena de comprometimento do equilíbrio orçamentário do ente federativo. ” (TCE – entendimento reiterado em fiscalização operacionais)</w:t>
      </w:r>
    </w:p>
    <w:p w:rsidR="00566F2C" w:rsidRPr="0045211F" w:rsidP="00566F2C">
      <w:pPr>
        <w:spacing w:beforeAutospacing="1" w:after="100" w:afterAutospacing="1" w:line="276" w:lineRule="auto"/>
        <w:rPr>
          <w:b/>
          <w:bCs/>
          <w:sz w:val="24"/>
          <w:szCs w:val="24"/>
        </w:rPr>
      </w:pPr>
      <w:r w:rsidRPr="00026D44">
        <w:rPr>
          <w:b/>
          <w:bCs/>
          <w:sz w:val="24"/>
          <w:szCs w:val="24"/>
        </w:rPr>
        <w:t>VI – ANÁLISE CONSOLIDADA COM BASE NA JURISPRUDÊNCIA</w:t>
      </w:r>
    </w:p>
    <w:p w:rsidR="00566F2C" w:rsidRPr="0045211F" w:rsidP="00566F2C">
      <w:pPr>
        <w:spacing w:before="100" w:beforeAutospacing="1" w:after="100" w:afterAutospacing="1"/>
        <w:rPr>
          <w:sz w:val="24"/>
          <w:szCs w:val="24"/>
        </w:rPr>
      </w:pPr>
      <w:r>
        <w:rPr>
          <w:sz w:val="24"/>
          <w:szCs w:val="24"/>
        </w:rPr>
        <w:t xml:space="preserve">      </w:t>
      </w:r>
      <w:r w:rsidRPr="0045211F">
        <w:rPr>
          <w:sz w:val="24"/>
          <w:szCs w:val="24"/>
        </w:rPr>
        <w:t>À luz dos entendimentos acima transcritos, verifica-se que:</w:t>
      </w:r>
    </w:p>
    <w:p w:rsidR="00566F2C" w:rsidRPr="0045211F" w:rsidP="005A01BC">
      <w:pPr>
        <w:spacing w:before="100" w:beforeAutospacing="1" w:after="100" w:afterAutospacing="1" w:line="276" w:lineRule="auto"/>
        <w:rPr>
          <w:sz w:val="24"/>
          <w:szCs w:val="24"/>
        </w:rPr>
      </w:pPr>
      <w:r>
        <w:rPr>
          <w:sz w:val="24"/>
          <w:szCs w:val="24"/>
        </w:rPr>
        <w:t xml:space="preserve">      - </w:t>
      </w:r>
      <w:r w:rsidRPr="0045211F">
        <w:rPr>
          <w:sz w:val="24"/>
          <w:szCs w:val="24"/>
        </w:rPr>
        <w:t>o</w:t>
      </w:r>
      <w:r w:rsidRPr="0045211F">
        <w:rPr>
          <w:sz w:val="24"/>
          <w:szCs w:val="24"/>
        </w:rPr>
        <w:t xml:space="preserve"> PMSR configura política pública com </w:t>
      </w:r>
      <w:r w:rsidRPr="00C86951">
        <w:rPr>
          <w:bCs/>
          <w:sz w:val="24"/>
          <w:szCs w:val="24"/>
        </w:rPr>
        <w:t>impacto financeiro continuado</w:t>
      </w:r>
      <w:r w:rsidRPr="00C86951">
        <w:rPr>
          <w:sz w:val="24"/>
          <w:szCs w:val="24"/>
        </w:rPr>
        <w:t>;</w:t>
      </w:r>
      <w:r w:rsidRPr="0045211F">
        <w:rPr>
          <w:sz w:val="24"/>
          <w:szCs w:val="24"/>
        </w:rPr>
        <w:t xml:space="preserve"> </w:t>
      </w:r>
    </w:p>
    <w:p w:rsidR="00566F2C" w:rsidRPr="0045211F" w:rsidP="005A01BC">
      <w:pPr>
        <w:spacing w:before="100" w:beforeAutospacing="1" w:after="100" w:afterAutospacing="1" w:line="276" w:lineRule="auto"/>
        <w:rPr>
          <w:sz w:val="24"/>
          <w:szCs w:val="24"/>
        </w:rPr>
      </w:pPr>
      <w:r>
        <w:rPr>
          <w:sz w:val="24"/>
          <w:szCs w:val="24"/>
        </w:rPr>
        <w:t xml:space="preserve">      - </w:t>
      </w:r>
      <w:r w:rsidRPr="0045211F">
        <w:rPr>
          <w:sz w:val="24"/>
          <w:szCs w:val="24"/>
        </w:rPr>
        <w:t>sua</w:t>
      </w:r>
      <w:r w:rsidRPr="0045211F">
        <w:rPr>
          <w:sz w:val="24"/>
          <w:szCs w:val="24"/>
        </w:rPr>
        <w:t xml:space="preserve"> validade e execução dependem da </w:t>
      </w:r>
      <w:r w:rsidRPr="00C86951">
        <w:rPr>
          <w:bCs/>
          <w:sz w:val="24"/>
          <w:szCs w:val="24"/>
        </w:rPr>
        <w:t>observância rigorosa da LRF</w:t>
      </w:r>
      <w:r w:rsidRPr="00C86951">
        <w:rPr>
          <w:sz w:val="24"/>
          <w:szCs w:val="24"/>
        </w:rPr>
        <w:t>;</w:t>
      </w:r>
      <w:r w:rsidRPr="0045211F">
        <w:rPr>
          <w:sz w:val="24"/>
          <w:szCs w:val="24"/>
        </w:rPr>
        <w:t xml:space="preserve"> </w:t>
      </w:r>
    </w:p>
    <w:p w:rsidR="00566F2C" w:rsidRPr="0045211F" w:rsidP="005A01BC">
      <w:pPr>
        <w:spacing w:before="100" w:beforeAutospacing="1" w:after="100" w:afterAutospacing="1" w:line="276" w:lineRule="auto"/>
        <w:rPr>
          <w:sz w:val="24"/>
          <w:szCs w:val="24"/>
        </w:rPr>
      </w:pPr>
      <w:r>
        <w:rPr>
          <w:sz w:val="24"/>
          <w:szCs w:val="24"/>
        </w:rPr>
        <w:t xml:space="preserve">      - </w:t>
      </w:r>
      <w:r w:rsidRPr="0045211F">
        <w:rPr>
          <w:sz w:val="24"/>
          <w:szCs w:val="24"/>
        </w:rPr>
        <w:t>a</w:t>
      </w:r>
      <w:r w:rsidRPr="0045211F">
        <w:rPr>
          <w:sz w:val="24"/>
          <w:szCs w:val="24"/>
        </w:rPr>
        <w:t xml:space="preserve"> ausência de previsão orçamentária ou estimativa de impacto pode ensejar </w:t>
      </w:r>
      <w:r w:rsidRPr="00C86951">
        <w:rPr>
          <w:bCs/>
          <w:sz w:val="24"/>
          <w:szCs w:val="24"/>
        </w:rPr>
        <w:t>irregularidade fiscal</w:t>
      </w:r>
      <w:r w:rsidRPr="00C86951">
        <w:rPr>
          <w:sz w:val="24"/>
          <w:szCs w:val="24"/>
        </w:rPr>
        <w:t>;</w:t>
      </w:r>
      <w:r w:rsidRPr="0045211F">
        <w:rPr>
          <w:sz w:val="24"/>
          <w:szCs w:val="24"/>
        </w:rPr>
        <w:t xml:space="preserve"> </w:t>
      </w:r>
    </w:p>
    <w:p w:rsidR="00566F2C" w:rsidRPr="0045211F" w:rsidP="005A01BC">
      <w:pPr>
        <w:spacing w:before="100" w:beforeAutospacing="1" w:after="100" w:afterAutospacing="1" w:line="276" w:lineRule="auto"/>
        <w:rPr>
          <w:sz w:val="24"/>
          <w:szCs w:val="24"/>
        </w:rPr>
      </w:pPr>
      <w:r>
        <w:rPr>
          <w:sz w:val="24"/>
          <w:szCs w:val="24"/>
        </w:rPr>
        <w:t xml:space="preserve">      - </w:t>
      </w:r>
      <w:r w:rsidRPr="0045211F">
        <w:rPr>
          <w:sz w:val="24"/>
          <w:szCs w:val="24"/>
        </w:rPr>
        <w:t>o</w:t>
      </w:r>
      <w:r w:rsidRPr="0045211F">
        <w:rPr>
          <w:sz w:val="24"/>
          <w:szCs w:val="24"/>
        </w:rPr>
        <w:t xml:space="preserve"> planejamento plurianual é </w:t>
      </w:r>
      <w:r w:rsidRPr="00C86951">
        <w:rPr>
          <w:bCs/>
          <w:sz w:val="24"/>
          <w:szCs w:val="24"/>
        </w:rPr>
        <w:t>condição indispensável à legitimidade da despesa</w:t>
      </w:r>
      <w:r w:rsidRPr="00C86951">
        <w:rPr>
          <w:sz w:val="24"/>
          <w:szCs w:val="24"/>
        </w:rPr>
        <w:t>;</w:t>
      </w:r>
      <w:r w:rsidRPr="0045211F">
        <w:rPr>
          <w:sz w:val="24"/>
          <w:szCs w:val="24"/>
        </w:rPr>
        <w:t xml:space="preserve"> </w:t>
      </w:r>
    </w:p>
    <w:p w:rsidR="00566F2C" w:rsidRPr="00C86951" w:rsidP="005A01BC">
      <w:pPr>
        <w:spacing w:before="100" w:beforeAutospacing="1" w:after="100" w:afterAutospacing="1" w:line="276" w:lineRule="auto"/>
        <w:rPr>
          <w:sz w:val="24"/>
          <w:szCs w:val="24"/>
        </w:rPr>
      </w:pPr>
      <w:r>
        <w:rPr>
          <w:sz w:val="24"/>
          <w:szCs w:val="24"/>
        </w:rPr>
        <w:t xml:space="preserve">      - </w:t>
      </w:r>
      <w:r w:rsidRPr="0045211F">
        <w:rPr>
          <w:sz w:val="24"/>
          <w:szCs w:val="24"/>
        </w:rPr>
        <w:t>a</w:t>
      </w:r>
      <w:r w:rsidRPr="0045211F">
        <w:rPr>
          <w:sz w:val="24"/>
          <w:szCs w:val="24"/>
        </w:rPr>
        <w:t xml:space="preserve"> sustentabilidade financeira é elemento central para evitar </w:t>
      </w:r>
      <w:r w:rsidRPr="00C86951">
        <w:rPr>
          <w:bCs/>
          <w:sz w:val="24"/>
          <w:szCs w:val="24"/>
        </w:rPr>
        <w:t>desequilíbrio fiscal</w:t>
      </w:r>
      <w:r w:rsidRPr="00C86951">
        <w:rPr>
          <w:sz w:val="24"/>
          <w:szCs w:val="24"/>
        </w:rPr>
        <w:t>.</w:t>
      </w:r>
    </w:p>
    <w:p w:rsidR="00566F2C" w:rsidRPr="0045211F" w:rsidP="00566F2C">
      <w:pPr>
        <w:spacing w:before="100" w:beforeAutospacing="1" w:after="100" w:afterAutospacing="1" w:line="276" w:lineRule="auto"/>
        <w:rPr>
          <w:sz w:val="24"/>
          <w:szCs w:val="24"/>
        </w:rPr>
      </w:pPr>
      <w:r w:rsidRPr="00B94425">
        <w:rPr>
          <w:b/>
          <w:bCs/>
          <w:sz w:val="24"/>
          <w:szCs w:val="24"/>
        </w:rPr>
        <w:t>V</w:t>
      </w:r>
      <w:r>
        <w:rPr>
          <w:b/>
          <w:bCs/>
          <w:sz w:val="24"/>
          <w:szCs w:val="24"/>
        </w:rPr>
        <w:t>II</w:t>
      </w:r>
      <w:r w:rsidRPr="00B94425">
        <w:rPr>
          <w:b/>
          <w:bCs/>
          <w:sz w:val="24"/>
          <w:szCs w:val="24"/>
        </w:rPr>
        <w:t xml:space="preserve"> – CONCLUSÃO </w:t>
      </w:r>
      <w:r>
        <w:rPr>
          <w:b/>
          <w:bCs/>
          <w:sz w:val="24"/>
          <w:szCs w:val="24"/>
        </w:rPr>
        <w:t>DO RELATOR</w:t>
      </w:r>
    </w:p>
    <w:p w:rsidR="00566F2C" w:rsidRPr="0045211F" w:rsidP="00566F2C">
      <w:pPr>
        <w:spacing w:before="100" w:beforeAutospacing="1" w:after="100" w:afterAutospacing="1" w:line="276" w:lineRule="auto"/>
        <w:rPr>
          <w:sz w:val="24"/>
          <w:szCs w:val="24"/>
        </w:rPr>
      </w:pPr>
      <w:r>
        <w:rPr>
          <w:sz w:val="24"/>
          <w:szCs w:val="24"/>
        </w:rPr>
        <w:t xml:space="preserve">      </w:t>
      </w:r>
      <w:r w:rsidRPr="0045211F">
        <w:rPr>
          <w:sz w:val="24"/>
          <w:szCs w:val="24"/>
        </w:rPr>
        <w:t xml:space="preserve">Diante do exposto, as </w:t>
      </w:r>
      <w:r w:rsidRPr="00CB0B46">
        <w:rPr>
          <w:bCs/>
          <w:sz w:val="24"/>
          <w:szCs w:val="24"/>
        </w:rPr>
        <w:t>Comissões de Exames de Assuntos Industriais e Comerciais e de Finanças e Orçamento da Câmara Municipal de Mogi Mirim</w:t>
      </w:r>
      <w:r w:rsidRPr="0045211F">
        <w:rPr>
          <w:sz w:val="24"/>
          <w:szCs w:val="24"/>
        </w:rPr>
        <w:t>, no exercício de suas atribuições legais e regimentais, concluem que o Projeto de Lei Complementar nº 01/2026:</w:t>
      </w:r>
    </w:p>
    <w:p w:rsidR="00566F2C" w:rsidRPr="0045211F" w:rsidP="005A01BC">
      <w:pPr>
        <w:spacing w:before="100" w:beforeAutospacing="1" w:after="100" w:afterAutospacing="1" w:line="276" w:lineRule="auto"/>
        <w:jc w:val="left"/>
        <w:rPr>
          <w:sz w:val="24"/>
          <w:szCs w:val="24"/>
        </w:rPr>
      </w:pPr>
      <w:r>
        <w:rPr>
          <w:sz w:val="24"/>
          <w:szCs w:val="24"/>
        </w:rPr>
        <w:t xml:space="preserve">      - </w:t>
      </w:r>
      <w:r w:rsidRPr="0045211F">
        <w:rPr>
          <w:sz w:val="24"/>
          <w:szCs w:val="24"/>
        </w:rPr>
        <w:t>atende</w:t>
      </w:r>
      <w:r w:rsidRPr="0045211F">
        <w:rPr>
          <w:sz w:val="24"/>
          <w:szCs w:val="24"/>
        </w:rPr>
        <w:t xml:space="preserve"> ao interesse público e ao desenvolvimento econômico municipal; </w:t>
      </w:r>
    </w:p>
    <w:p w:rsidR="00566F2C" w:rsidRPr="0045211F" w:rsidP="005A01BC">
      <w:pPr>
        <w:spacing w:before="100" w:beforeAutospacing="1" w:after="100" w:afterAutospacing="1" w:line="276" w:lineRule="auto"/>
        <w:jc w:val="left"/>
        <w:rPr>
          <w:sz w:val="24"/>
          <w:szCs w:val="24"/>
        </w:rPr>
      </w:pPr>
      <w:r>
        <w:rPr>
          <w:sz w:val="24"/>
          <w:szCs w:val="24"/>
        </w:rPr>
        <w:t xml:space="preserve">      - </w:t>
      </w:r>
      <w:r w:rsidRPr="0045211F">
        <w:rPr>
          <w:sz w:val="24"/>
          <w:szCs w:val="24"/>
        </w:rPr>
        <w:t>apresenta</w:t>
      </w:r>
      <w:r w:rsidRPr="0045211F">
        <w:rPr>
          <w:sz w:val="24"/>
          <w:szCs w:val="24"/>
        </w:rPr>
        <w:t xml:space="preserve"> estrutura técnica compatível com instrumentos de planejamento; </w:t>
      </w:r>
    </w:p>
    <w:p w:rsidR="00566F2C" w:rsidRPr="0045211F" w:rsidP="005A01BC">
      <w:pPr>
        <w:spacing w:before="100" w:beforeAutospacing="1" w:after="100" w:afterAutospacing="1" w:line="276" w:lineRule="auto"/>
        <w:jc w:val="left"/>
        <w:rPr>
          <w:sz w:val="24"/>
          <w:szCs w:val="24"/>
        </w:rPr>
      </w:pPr>
      <w:r>
        <w:rPr>
          <w:sz w:val="24"/>
          <w:szCs w:val="24"/>
        </w:rPr>
        <w:t xml:space="preserve">      - </w:t>
      </w:r>
      <w:r w:rsidRPr="0045211F">
        <w:rPr>
          <w:sz w:val="24"/>
          <w:szCs w:val="24"/>
        </w:rPr>
        <w:t>encontra</w:t>
      </w:r>
      <w:r w:rsidRPr="0045211F">
        <w:rPr>
          <w:sz w:val="24"/>
          <w:szCs w:val="24"/>
        </w:rPr>
        <w:t xml:space="preserve"> respaldo na legislação federal, estadual e municipal; </w:t>
      </w:r>
    </w:p>
    <w:p w:rsidR="00566F2C" w:rsidP="005A01BC">
      <w:pPr>
        <w:spacing w:before="100" w:beforeAutospacing="1" w:after="100" w:afterAutospacing="1" w:line="276" w:lineRule="auto"/>
        <w:jc w:val="left"/>
        <w:rPr>
          <w:sz w:val="24"/>
          <w:szCs w:val="24"/>
        </w:rPr>
      </w:pPr>
      <w:r>
        <w:rPr>
          <w:sz w:val="24"/>
          <w:szCs w:val="24"/>
        </w:rPr>
        <w:t xml:space="preserve">      - </w:t>
      </w:r>
      <w:r w:rsidRPr="0045211F">
        <w:rPr>
          <w:sz w:val="24"/>
          <w:szCs w:val="24"/>
        </w:rPr>
        <w:t>é</w:t>
      </w:r>
      <w:r w:rsidRPr="0045211F">
        <w:rPr>
          <w:sz w:val="24"/>
          <w:szCs w:val="24"/>
        </w:rPr>
        <w:t xml:space="preserve"> </w:t>
      </w:r>
      <w:r w:rsidRPr="00CB0B46">
        <w:rPr>
          <w:bCs/>
          <w:sz w:val="24"/>
          <w:szCs w:val="24"/>
        </w:rPr>
        <w:t>viável sob a ótica financeira</w:t>
      </w:r>
      <w:r w:rsidRPr="0045211F">
        <w:rPr>
          <w:sz w:val="24"/>
          <w:szCs w:val="24"/>
        </w:rPr>
        <w:t xml:space="preserve">, desde que observadas as condicionantes legais. </w:t>
      </w:r>
    </w:p>
    <w:p w:rsidR="00566F2C" w:rsidP="00566F2C">
      <w:pPr>
        <w:spacing w:before="100" w:beforeAutospacing="1" w:after="100" w:afterAutospacing="1" w:line="276" w:lineRule="auto"/>
        <w:rPr>
          <w:color w:val="333333"/>
          <w:sz w:val="24"/>
          <w:szCs w:val="24"/>
        </w:rPr>
      </w:pPr>
      <w:r>
        <w:rPr>
          <w:color w:val="333333"/>
          <w:sz w:val="24"/>
          <w:szCs w:val="24"/>
        </w:rPr>
        <w:t xml:space="preserve">      </w:t>
      </w:r>
      <w:r w:rsidRPr="00CB0B46">
        <w:rPr>
          <w:color w:val="333333"/>
          <w:sz w:val="24"/>
          <w:szCs w:val="24"/>
        </w:rPr>
        <w:t xml:space="preserve">Assim, </w:t>
      </w:r>
      <w:r>
        <w:rPr>
          <w:color w:val="333333"/>
          <w:sz w:val="24"/>
          <w:szCs w:val="24"/>
        </w:rPr>
        <w:t>este Relator</w:t>
      </w:r>
      <w:r w:rsidRPr="00CB0B46">
        <w:rPr>
          <w:color w:val="333333"/>
          <w:sz w:val="24"/>
          <w:szCs w:val="24"/>
        </w:rPr>
        <w:t xml:space="preserve">, no uso de suas atribuições, opina pela </w:t>
      </w:r>
      <w:r w:rsidRPr="00CB0B46">
        <w:rPr>
          <w:color w:val="333333"/>
          <w:sz w:val="24"/>
          <w:szCs w:val="24"/>
          <w:u w:val="single"/>
        </w:rPr>
        <w:t>APROVAÇÃO</w:t>
      </w:r>
      <w:r w:rsidRPr="00CB0B46">
        <w:rPr>
          <w:color w:val="333333"/>
          <w:sz w:val="24"/>
          <w:szCs w:val="24"/>
        </w:rPr>
        <w:t xml:space="preserve"> do Projeto de Lei Complementar nº 1 de 2026, com as ressalvas e recomendações apresentadas, visando garantir a responsabilidade fiscal e a efetividade das políticas públicas de saneamento rural no Município de Mogi Mirim.</w:t>
      </w:r>
    </w:p>
    <w:p w:rsidR="00EE5DD3" w:rsidRPr="00CB0B46" w:rsidP="00566F2C">
      <w:pPr>
        <w:spacing w:before="100" w:beforeAutospacing="1" w:after="100" w:afterAutospacing="1" w:line="276" w:lineRule="auto"/>
        <w:rPr>
          <w:sz w:val="24"/>
          <w:szCs w:val="24"/>
        </w:rPr>
      </w:pPr>
    </w:p>
    <w:p w:rsidR="00566F2C" w:rsidRPr="009A1FFA" w:rsidP="00566F2C">
      <w:pPr>
        <w:pStyle w:val="BodyText"/>
        <w:spacing w:before="240" w:after="0" w:line="360" w:lineRule="auto"/>
        <w:ind w:left="100" w:leftChars="50"/>
        <w:jc w:val="center"/>
        <w:rPr>
          <w:color w:val="000000"/>
          <w:sz w:val="24"/>
          <w:szCs w:val="24"/>
          <w:shd w:val="clear" w:color="auto" w:fill="FFFFFF"/>
        </w:rPr>
      </w:pPr>
      <w:r w:rsidRPr="009A1FFA">
        <w:rPr>
          <w:color w:val="000000"/>
          <w:sz w:val="24"/>
          <w:szCs w:val="24"/>
          <w:shd w:val="clear" w:color="auto" w:fill="FFFFFF"/>
        </w:rPr>
        <w:t xml:space="preserve">Sala das Comissões, em </w:t>
      </w:r>
      <w:r w:rsidR="005A01BC">
        <w:rPr>
          <w:color w:val="000000"/>
          <w:sz w:val="24"/>
          <w:szCs w:val="24"/>
          <w:shd w:val="clear" w:color="auto" w:fill="FFFFFF"/>
        </w:rPr>
        <w:t>3</w:t>
      </w:r>
      <w:r w:rsidR="00B97326">
        <w:rPr>
          <w:color w:val="000000"/>
          <w:sz w:val="24"/>
          <w:szCs w:val="24"/>
          <w:shd w:val="clear" w:color="auto" w:fill="FFFFFF"/>
        </w:rPr>
        <w:t>1</w:t>
      </w:r>
      <w:bookmarkStart w:id="0" w:name="_GoBack"/>
      <w:bookmarkEnd w:id="0"/>
      <w:r w:rsidRPr="009A1FFA">
        <w:rPr>
          <w:color w:val="000000"/>
          <w:sz w:val="24"/>
          <w:szCs w:val="24"/>
          <w:shd w:val="clear" w:color="auto" w:fill="FFFFFF"/>
        </w:rPr>
        <w:t xml:space="preserve"> de </w:t>
      </w:r>
      <w:r>
        <w:rPr>
          <w:color w:val="000000"/>
          <w:sz w:val="24"/>
          <w:szCs w:val="24"/>
          <w:shd w:val="clear" w:color="auto" w:fill="FFFFFF"/>
        </w:rPr>
        <w:t>março</w:t>
      </w:r>
      <w:r w:rsidRPr="009A1FFA">
        <w:rPr>
          <w:color w:val="000000"/>
          <w:sz w:val="24"/>
          <w:szCs w:val="24"/>
          <w:shd w:val="clear" w:color="auto" w:fill="FFFFFF"/>
        </w:rPr>
        <w:t xml:space="preserve"> de 202</w:t>
      </w:r>
      <w:r>
        <w:rPr>
          <w:color w:val="000000"/>
          <w:sz w:val="24"/>
          <w:szCs w:val="24"/>
          <w:shd w:val="clear" w:color="auto" w:fill="FFFFFF"/>
        </w:rPr>
        <w:t>6</w:t>
      </w:r>
      <w:r w:rsidRPr="009A1FFA">
        <w:rPr>
          <w:color w:val="000000"/>
          <w:sz w:val="24"/>
          <w:szCs w:val="24"/>
          <w:shd w:val="clear" w:color="auto" w:fill="FFFFFF"/>
        </w:rPr>
        <w:t>.</w:t>
      </w:r>
    </w:p>
    <w:p w:rsidR="00566F2C" w:rsidP="00566F2C">
      <w:pPr>
        <w:pStyle w:val="BodyText"/>
        <w:spacing w:before="238" w:after="0" w:line="360" w:lineRule="auto"/>
        <w:ind w:left="100" w:leftChars="50"/>
        <w:contextualSpacing/>
        <w:jc w:val="center"/>
        <w:rPr>
          <w:b/>
          <w:color w:val="000000"/>
          <w:sz w:val="24"/>
          <w:szCs w:val="24"/>
        </w:rPr>
      </w:pPr>
    </w:p>
    <w:p w:rsidR="005A01BC" w:rsidRPr="009A1FFA" w:rsidP="00566F2C">
      <w:pPr>
        <w:pStyle w:val="BodyText"/>
        <w:spacing w:before="238" w:after="0" w:line="360" w:lineRule="auto"/>
        <w:ind w:left="100" w:leftChars="50"/>
        <w:contextualSpacing/>
        <w:jc w:val="center"/>
        <w:rPr>
          <w:b/>
          <w:color w:val="000000"/>
          <w:sz w:val="24"/>
          <w:szCs w:val="24"/>
        </w:rPr>
      </w:pPr>
    </w:p>
    <w:p w:rsidR="00566F2C" w:rsidP="00566F2C">
      <w:pPr>
        <w:tabs>
          <w:tab w:val="left" w:pos="5700"/>
        </w:tabs>
        <w:spacing w:line="276" w:lineRule="auto"/>
        <w:jc w:val="center"/>
        <w:rPr>
          <w:i/>
          <w:szCs w:val="24"/>
        </w:rPr>
      </w:pPr>
    </w:p>
    <w:p w:rsidR="00566F2C" w:rsidP="00566F2C">
      <w:pPr>
        <w:tabs>
          <w:tab w:val="left" w:pos="5700"/>
        </w:tabs>
        <w:spacing w:line="276" w:lineRule="auto"/>
        <w:jc w:val="center"/>
        <w:rPr>
          <w:i/>
          <w:szCs w:val="24"/>
        </w:rPr>
      </w:pPr>
      <w:r w:rsidRPr="00830A06">
        <w:rPr>
          <w:i/>
          <w:szCs w:val="24"/>
        </w:rPr>
        <w:t>(Documento assinado digitalmente)</w:t>
      </w:r>
    </w:p>
    <w:p w:rsidR="00566F2C" w:rsidRPr="008C3850" w:rsidP="00566F2C">
      <w:pPr>
        <w:tabs>
          <w:tab w:val="left" w:pos="5700"/>
        </w:tabs>
        <w:spacing w:line="276" w:lineRule="auto"/>
        <w:jc w:val="center"/>
        <w:rPr>
          <w:color w:val="000000"/>
          <w:sz w:val="24"/>
          <w:szCs w:val="24"/>
        </w:rPr>
      </w:pPr>
      <w:r w:rsidRPr="008C3850">
        <w:rPr>
          <w:color w:val="000000"/>
          <w:sz w:val="24"/>
          <w:szCs w:val="24"/>
        </w:rPr>
        <w:t>Vereador Sargento Coran</w:t>
      </w:r>
    </w:p>
    <w:p w:rsidR="00566F2C" w:rsidRPr="008C3850" w:rsidP="00566F2C">
      <w:pPr>
        <w:pStyle w:val="BodyText"/>
        <w:spacing w:before="238" w:after="0"/>
        <w:ind w:left="100" w:leftChars="50"/>
        <w:contextualSpacing/>
        <w:jc w:val="center"/>
        <w:rPr>
          <w:color w:val="000000"/>
          <w:sz w:val="24"/>
          <w:szCs w:val="24"/>
        </w:rPr>
      </w:pPr>
      <w:r w:rsidRPr="008C3850">
        <w:rPr>
          <w:color w:val="000000"/>
          <w:sz w:val="24"/>
          <w:szCs w:val="24"/>
        </w:rPr>
        <w:t>Relator do Projeto de Lei</w:t>
      </w:r>
      <w:r w:rsidR="005A01BC">
        <w:rPr>
          <w:color w:val="000000"/>
          <w:sz w:val="24"/>
          <w:szCs w:val="24"/>
        </w:rPr>
        <w:t xml:space="preserve"> Complementar </w:t>
      </w:r>
      <w:r w:rsidRPr="008C3850">
        <w:rPr>
          <w:color w:val="000000"/>
          <w:sz w:val="24"/>
          <w:szCs w:val="24"/>
        </w:rPr>
        <w:t xml:space="preserve">nº </w:t>
      </w:r>
      <w:r w:rsidR="005A01BC">
        <w:rPr>
          <w:color w:val="000000"/>
          <w:sz w:val="24"/>
          <w:szCs w:val="24"/>
        </w:rPr>
        <w:t>1</w:t>
      </w:r>
      <w:r w:rsidRPr="008C3850">
        <w:rPr>
          <w:color w:val="000000"/>
          <w:sz w:val="24"/>
          <w:szCs w:val="24"/>
        </w:rPr>
        <w:t>/202</w:t>
      </w:r>
      <w:r w:rsidR="005A01BC">
        <w:rPr>
          <w:color w:val="000000"/>
          <w:sz w:val="24"/>
          <w:szCs w:val="24"/>
        </w:rPr>
        <w:t>6</w:t>
      </w:r>
    </w:p>
    <w:p w:rsidR="00830A06" w:rsidP="002A3601">
      <w:pPr>
        <w:pStyle w:val="BodyText"/>
        <w:jc w:val="center"/>
        <w:rPr>
          <w:b/>
          <w:bCs/>
          <w:color w:val="000000"/>
          <w:sz w:val="24"/>
          <w:szCs w:val="24"/>
          <w:shd w:val="clear" w:color="auto" w:fill="FFFFFF"/>
        </w:rPr>
      </w:pPr>
      <w:r w:rsidRPr="00080765">
        <w:rPr>
          <w:sz w:val="24"/>
          <w:szCs w:val="24"/>
        </w:rPr>
        <w:br/>
      </w:r>
    </w:p>
    <w:p w:rsidR="00830A06" w:rsidP="00830A06">
      <w:pPr>
        <w:rPr>
          <w:sz w:val="24"/>
          <w:szCs w:val="24"/>
        </w:rPr>
      </w:pPr>
    </w:p>
    <w:p w:rsidR="00204135" w:rsidP="00830A06">
      <w:pPr>
        <w:rPr>
          <w:sz w:val="24"/>
          <w:szCs w:val="24"/>
        </w:rPr>
      </w:pPr>
    </w:p>
    <w:p w:rsidR="00204135" w:rsidP="00830A06">
      <w:pPr>
        <w:rPr>
          <w:sz w:val="24"/>
          <w:szCs w:val="24"/>
        </w:rPr>
      </w:pPr>
    </w:p>
    <w:p w:rsidR="00566F2C" w:rsidP="00566F2C">
      <w:pPr>
        <w:spacing w:before="100" w:beforeAutospacing="1" w:after="100" w:afterAutospacing="1" w:line="276" w:lineRule="auto"/>
        <w:jc w:val="center"/>
        <w:rPr>
          <w:b/>
          <w:bCs/>
          <w:kern w:val="36"/>
          <w:sz w:val="24"/>
          <w:szCs w:val="24"/>
        </w:rPr>
      </w:pPr>
      <w:r w:rsidRPr="0045211F">
        <w:rPr>
          <w:b/>
          <w:bCs/>
          <w:kern w:val="36"/>
          <w:sz w:val="24"/>
          <w:szCs w:val="24"/>
        </w:rPr>
        <w:t>PARECER CONJUNTO DAS COMISSÕES DE EXAMES DE ASSUNTOS INDUSTRIAIS E COMERCIAIS E DE FINANÇAS E ORÇAMENTO</w:t>
      </w:r>
    </w:p>
    <w:p w:rsidR="00566F2C" w:rsidP="00566F2C">
      <w:pPr>
        <w:spacing w:before="100" w:beforeAutospacing="1" w:after="100" w:afterAutospacing="1" w:line="276" w:lineRule="auto"/>
        <w:rPr>
          <w:color w:val="000000"/>
          <w:sz w:val="24"/>
          <w:szCs w:val="24"/>
        </w:rPr>
      </w:pPr>
      <w:r>
        <w:rPr>
          <w:color w:val="000000"/>
          <w:sz w:val="24"/>
          <w:szCs w:val="24"/>
        </w:rPr>
        <w:t xml:space="preserve">      </w:t>
      </w:r>
      <w:r w:rsidRPr="008C3850">
        <w:rPr>
          <w:color w:val="000000"/>
          <w:sz w:val="24"/>
          <w:szCs w:val="24"/>
        </w:rPr>
        <w:t>Seguindo o Voto exarado pelo Relator e conforme determina o artigo 37, da Resolução n.º 276 de 09 de novembro de 2.010, a</w:t>
      </w:r>
      <w:r>
        <w:rPr>
          <w:color w:val="000000"/>
          <w:sz w:val="24"/>
          <w:szCs w:val="24"/>
        </w:rPr>
        <w:t>s</w:t>
      </w:r>
      <w:r w:rsidRPr="008C3850">
        <w:rPr>
          <w:color w:val="000000"/>
          <w:sz w:val="24"/>
          <w:szCs w:val="24"/>
        </w:rPr>
        <w:t xml:space="preserve"> Comiss</w:t>
      </w:r>
      <w:r>
        <w:rPr>
          <w:color w:val="000000"/>
          <w:sz w:val="24"/>
          <w:szCs w:val="24"/>
        </w:rPr>
        <w:t xml:space="preserve">ões de exames de Assuntos Industriais e Comerciais </w:t>
      </w:r>
      <w:r w:rsidRPr="008C3850">
        <w:rPr>
          <w:color w:val="000000"/>
          <w:sz w:val="24"/>
          <w:szCs w:val="24"/>
        </w:rPr>
        <w:t>e de Finanças e Orçamento formaliza</w:t>
      </w:r>
      <w:r>
        <w:rPr>
          <w:color w:val="000000"/>
          <w:sz w:val="24"/>
          <w:szCs w:val="24"/>
        </w:rPr>
        <w:t>m</w:t>
      </w:r>
      <w:r w:rsidRPr="008C3850">
        <w:rPr>
          <w:color w:val="000000"/>
          <w:sz w:val="24"/>
          <w:szCs w:val="24"/>
        </w:rPr>
        <w:t xml:space="preserve"> o presente </w:t>
      </w:r>
      <w:r w:rsidRPr="008C3850">
        <w:rPr>
          <w:b/>
          <w:color w:val="000000"/>
          <w:sz w:val="24"/>
          <w:szCs w:val="24"/>
        </w:rPr>
        <w:t>PARECER FAVORÁVEL</w:t>
      </w:r>
      <w:r w:rsidRPr="00FE32E2">
        <w:rPr>
          <w:color w:val="000000"/>
          <w:sz w:val="24"/>
          <w:szCs w:val="24"/>
        </w:rPr>
        <w:t>.</w:t>
      </w:r>
    </w:p>
    <w:p w:rsidR="00566F2C" w:rsidP="00566F2C">
      <w:pPr>
        <w:pStyle w:val="BodyText"/>
        <w:spacing w:before="240" w:after="0" w:line="240" w:lineRule="auto"/>
        <w:jc w:val="center"/>
        <w:rPr>
          <w:color w:val="000000"/>
          <w:sz w:val="24"/>
          <w:szCs w:val="24"/>
          <w:shd w:val="clear" w:color="auto" w:fill="FFFFFF"/>
        </w:rPr>
      </w:pPr>
      <w:r>
        <w:rPr>
          <w:color w:val="000000"/>
          <w:sz w:val="24"/>
          <w:szCs w:val="24"/>
          <w:shd w:val="clear" w:color="auto" w:fill="FFFFFF"/>
        </w:rPr>
        <w:t xml:space="preserve">Sala das Comissões, em </w:t>
      </w:r>
      <w:r w:rsidR="005A01BC">
        <w:rPr>
          <w:color w:val="000000"/>
          <w:sz w:val="24"/>
          <w:szCs w:val="24"/>
          <w:shd w:val="clear" w:color="auto" w:fill="FFFFFF"/>
        </w:rPr>
        <w:t>3</w:t>
      </w:r>
      <w:r w:rsidR="00B97326">
        <w:rPr>
          <w:color w:val="000000"/>
          <w:sz w:val="24"/>
          <w:szCs w:val="24"/>
          <w:shd w:val="clear" w:color="auto" w:fill="FFFFFF"/>
        </w:rPr>
        <w:t>1</w:t>
      </w:r>
      <w:r w:rsidRPr="00FE32E2">
        <w:rPr>
          <w:color w:val="000000"/>
          <w:sz w:val="24"/>
          <w:szCs w:val="24"/>
          <w:shd w:val="clear" w:color="auto" w:fill="FFFFFF"/>
        </w:rPr>
        <w:t xml:space="preserve"> de </w:t>
      </w:r>
      <w:r>
        <w:rPr>
          <w:color w:val="000000"/>
          <w:sz w:val="24"/>
          <w:szCs w:val="24"/>
          <w:shd w:val="clear" w:color="auto" w:fill="FFFFFF"/>
        </w:rPr>
        <w:t>março</w:t>
      </w:r>
      <w:r w:rsidRPr="00FE32E2">
        <w:rPr>
          <w:color w:val="000000"/>
          <w:sz w:val="24"/>
          <w:szCs w:val="24"/>
          <w:shd w:val="clear" w:color="auto" w:fill="FFFFFF"/>
        </w:rPr>
        <w:t xml:space="preserve"> de 202</w:t>
      </w:r>
      <w:r>
        <w:rPr>
          <w:color w:val="000000"/>
          <w:sz w:val="24"/>
          <w:szCs w:val="24"/>
          <w:shd w:val="clear" w:color="auto" w:fill="FFFFFF"/>
        </w:rPr>
        <w:t>6</w:t>
      </w:r>
      <w:r w:rsidRPr="00FE32E2">
        <w:rPr>
          <w:color w:val="000000"/>
          <w:sz w:val="24"/>
          <w:szCs w:val="24"/>
          <w:shd w:val="clear" w:color="auto" w:fill="FFFFFF"/>
        </w:rPr>
        <w:t>.</w:t>
      </w:r>
    </w:p>
    <w:p w:rsidR="005A01BC" w:rsidP="00566F2C">
      <w:pPr>
        <w:pStyle w:val="BodyText"/>
        <w:spacing w:before="240" w:after="0" w:line="240" w:lineRule="auto"/>
        <w:jc w:val="center"/>
        <w:rPr>
          <w:color w:val="000000"/>
          <w:sz w:val="24"/>
          <w:szCs w:val="24"/>
          <w:shd w:val="clear" w:color="auto" w:fill="FFFFFF"/>
        </w:rPr>
      </w:pPr>
    </w:p>
    <w:p w:rsidR="00566F2C" w:rsidRPr="005A01BC" w:rsidP="00566F2C">
      <w:pPr>
        <w:pStyle w:val="BodyText"/>
        <w:spacing w:before="240" w:after="0"/>
        <w:jc w:val="center"/>
        <w:rPr>
          <w:b/>
          <w:bCs/>
          <w:sz w:val="24"/>
          <w:szCs w:val="24"/>
        </w:rPr>
      </w:pPr>
      <w:r w:rsidRPr="005A01BC">
        <w:rPr>
          <w:b/>
          <w:bCs/>
          <w:sz w:val="24"/>
          <w:szCs w:val="24"/>
        </w:rPr>
        <w:t>COMISSÃO DE EXAMES DE ASSUNTOS INDUSTRIAIS E COMERCIAIS</w:t>
      </w:r>
    </w:p>
    <w:p w:rsidR="00566F2C" w:rsidP="00566F2C">
      <w:pPr>
        <w:spacing w:before="100" w:beforeAutospacing="1" w:after="100" w:afterAutospacing="1" w:line="276" w:lineRule="auto"/>
        <w:jc w:val="center"/>
        <w:rPr>
          <w:bCs/>
          <w:sz w:val="24"/>
          <w:szCs w:val="24"/>
        </w:rPr>
      </w:pPr>
    </w:p>
    <w:p w:rsidR="00566F2C" w:rsidP="00566F2C">
      <w:pPr>
        <w:spacing w:before="100" w:beforeAutospacing="1" w:after="100" w:afterAutospacing="1" w:line="276" w:lineRule="auto"/>
        <w:jc w:val="center"/>
        <w:rPr>
          <w:sz w:val="24"/>
          <w:szCs w:val="24"/>
        </w:rPr>
      </w:pPr>
      <w:r w:rsidRPr="008C3850">
        <w:rPr>
          <w:bCs/>
          <w:sz w:val="24"/>
          <w:szCs w:val="24"/>
        </w:rPr>
        <w:t>Vereador Márcio Dener Coran</w:t>
      </w:r>
      <w:r w:rsidRPr="008C3850">
        <w:rPr>
          <w:sz w:val="24"/>
          <w:szCs w:val="24"/>
        </w:rPr>
        <w:br/>
        <w:t>Presidente</w:t>
      </w:r>
      <w:r w:rsidR="005A01BC">
        <w:rPr>
          <w:sz w:val="24"/>
          <w:szCs w:val="24"/>
        </w:rPr>
        <w:t>/Relator</w:t>
      </w:r>
    </w:p>
    <w:p w:rsidR="00566F2C" w:rsidRPr="008C3850" w:rsidP="00566F2C">
      <w:pPr>
        <w:spacing w:before="100" w:beforeAutospacing="1" w:after="100" w:afterAutospacing="1" w:line="276" w:lineRule="auto"/>
        <w:jc w:val="center"/>
        <w:rPr>
          <w:sz w:val="24"/>
          <w:szCs w:val="24"/>
        </w:rPr>
      </w:pPr>
    </w:p>
    <w:p w:rsidR="00566F2C" w:rsidP="00566F2C">
      <w:pPr>
        <w:spacing w:before="100" w:beforeAutospacing="1" w:after="100" w:afterAutospacing="1" w:line="276" w:lineRule="auto"/>
        <w:jc w:val="center"/>
        <w:rPr>
          <w:sz w:val="24"/>
          <w:szCs w:val="24"/>
        </w:rPr>
      </w:pPr>
      <w:r w:rsidRPr="008C3850">
        <w:rPr>
          <w:bCs/>
          <w:sz w:val="24"/>
          <w:szCs w:val="24"/>
        </w:rPr>
        <w:t xml:space="preserve">Vereador Ademir Souza </w:t>
      </w:r>
      <w:r w:rsidRPr="008C3850">
        <w:rPr>
          <w:bCs/>
          <w:sz w:val="24"/>
          <w:szCs w:val="24"/>
        </w:rPr>
        <w:t>Floretti</w:t>
      </w:r>
      <w:r w:rsidRPr="008C3850">
        <w:rPr>
          <w:bCs/>
          <w:sz w:val="24"/>
          <w:szCs w:val="24"/>
        </w:rPr>
        <w:t xml:space="preserve"> Junior</w:t>
      </w:r>
      <w:r w:rsidRPr="008C3850">
        <w:rPr>
          <w:sz w:val="24"/>
          <w:szCs w:val="24"/>
        </w:rPr>
        <w:br/>
        <w:t>Vice-Presidente</w:t>
      </w:r>
    </w:p>
    <w:p w:rsidR="00566F2C" w:rsidRPr="008C3850" w:rsidP="00566F2C">
      <w:pPr>
        <w:spacing w:before="100" w:beforeAutospacing="1" w:after="100" w:afterAutospacing="1" w:line="276" w:lineRule="auto"/>
        <w:jc w:val="center"/>
        <w:rPr>
          <w:sz w:val="24"/>
          <w:szCs w:val="24"/>
        </w:rPr>
      </w:pPr>
    </w:p>
    <w:p w:rsidR="00566F2C" w:rsidRPr="008C3850" w:rsidP="00566F2C">
      <w:pPr>
        <w:spacing w:before="100" w:beforeAutospacing="1" w:after="100" w:afterAutospacing="1" w:line="276" w:lineRule="auto"/>
        <w:jc w:val="center"/>
        <w:rPr>
          <w:sz w:val="24"/>
          <w:szCs w:val="24"/>
        </w:rPr>
      </w:pPr>
      <w:r w:rsidRPr="008C3850">
        <w:rPr>
          <w:bCs/>
          <w:sz w:val="24"/>
          <w:szCs w:val="24"/>
        </w:rPr>
        <w:t>Vereador Willians Mendes de Oliveira</w:t>
      </w:r>
      <w:r w:rsidRPr="008C3850">
        <w:rPr>
          <w:sz w:val="24"/>
          <w:szCs w:val="24"/>
        </w:rPr>
        <w:br/>
        <w:t>Membro</w:t>
      </w:r>
    </w:p>
    <w:p w:rsidR="00566F2C" w:rsidRPr="008C3850" w:rsidP="00566F2C">
      <w:pPr>
        <w:spacing w:line="276" w:lineRule="auto"/>
        <w:rPr>
          <w:sz w:val="24"/>
          <w:szCs w:val="24"/>
        </w:rPr>
      </w:pPr>
    </w:p>
    <w:p w:rsidR="00566F2C" w:rsidRPr="005A01BC" w:rsidP="00566F2C">
      <w:pPr>
        <w:spacing w:line="276" w:lineRule="auto"/>
        <w:jc w:val="center"/>
        <w:rPr>
          <w:b/>
          <w:bCs/>
          <w:sz w:val="24"/>
          <w:szCs w:val="24"/>
        </w:rPr>
      </w:pPr>
      <w:r w:rsidRPr="005A01BC">
        <w:rPr>
          <w:b/>
          <w:bCs/>
          <w:sz w:val="24"/>
          <w:szCs w:val="24"/>
        </w:rPr>
        <w:t>COMISSÃO DE FINANÇAS E ORÇAMENTO</w:t>
      </w:r>
    </w:p>
    <w:p w:rsidR="00566F2C" w:rsidRPr="008C3850" w:rsidP="00566F2C">
      <w:pPr>
        <w:spacing w:line="276" w:lineRule="auto"/>
        <w:jc w:val="center"/>
        <w:rPr>
          <w:sz w:val="24"/>
          <w:szCs w:val="24"/>
        </w:rPr>
      </w:pPr>
    </w:p>
    <w:p w:rsidR="00566F2C" w:rsidP="00566F2C">
      <w:pPr>
        <w:spacing w:before="100" w:beforeAutospacing="1" w:after="100" w:afterAutospacing="1" w:line="276" w:lineRule="auto"/>
        <w:jc w:val="center"/>
        <w:rPr>
          <w:sz w:val="24"/>
          <w:szCs w:val="24"/>
        </w:rPr>
      </w:pPr>
      <w:r w:rsidRPr="008C3850">
        <w:rPr>
          <w:bCs/>
          <w:sz w:val="24"/>
          <w:szCs w:val="24"/>
        </w:rPr>
        <w:t xml:space="preserve">Vereadora Mara Cristina </w:t>
      </w:r>
      <w:r w:rsidRPr="008C3850">
        <w:rPr>
          <w:bCs/>
          <w:sz w:val="24"/>
          <w:szCs w:val="24"/>
        </w:rPr>
        <w:t>Choquetta</w:t>
      </w:r>
      <w:r w:rsidRPr="008C3850">
        <w:rPr>
          <w:sz w:val="24"/>
          <w:szCs w:val="24"/>
        </w:rPr>
        <w:br/>
        <w:t>Presidente</w:t>
      </w:r>
    </w:p>
    <w:p w:rsidR="00566F2C" w:rsidRPr="008C3850" w:rsidP="00566F2C">
      <w:pPr>
        <w:spacing w:before="100" w:beforeAutospacing="1" w:after="100" w:afterAutospacing="1" w:line="276" w:lineRule="auto"/>
        <w:jc w:val="center"/>
        <w:rPr>
          <w:sz w:val="24"/>
          <w:szCs w:val="24"/>
        </w:rPr>
      </w:pPr>
    </w:p>
    <w:p w:rsidR="00566F2C" w:rsidP="00566F2C">
      <w:pPr>
        <w:spacing w:before="100" w:beforeAutospacing="1" w:after="100" w:afterAutospacing="1" w:line="276" w:lineRule="auto"/>
        <w:jc w:val="center"/>
        <w:rPr>
          <w:sz w:val="24"/>
          <w:szCs w:val="24"/>
        </w:rPr>
      </w:pPr>
      <w:r w:rsidRPr="008C3850">
        <w:rPr>
          <w:bCs/>
          <w:sz w:val="24"/>
          <w:szCs w:val="24"/>
        </w:rPr>
        <w:t>Vereador Márcio Dener Coran</w:t>
      </w:r>
      <w:r w:rsidRPr="008C3850">
        <w:rPr>
          <w:sz w:val="24"/>
          <w:szCs w:val="24"/>
        </w:rPr>
        <w:br/>
        <w:t>Vice-Presidente</w:t>
      </w:r>
      <w:r w:rsidR="005A01BC">
        <w:rPr>
          <w:sz w:val="24"/>
          <w:szCs w:val="24"/>
        </w:rPr>
        <w:t>/Relator</w:t>
      </w:r>
    </w:p>
    <w:p w:rsidR="00566F2C" w:rsidRPr="008C3850" w:rsidP="00566F2C">
      <w:pPr>
        <w:spacing w:before="100" w:beforeAutospacing="1" w:after="100" w:afterAutospacing="1" w:line="276" w:lineRule="auto"/>
        <w:jc w:val="center"/>
        <w:rPr>
          <w:sz w:val="24"/>
          <w:szCs w:val="24"/>
        </w:rPr>
      </w:pPr>
    </w:p>
    <w:p w:rsidR="00830A06" w:rsidP="005A01BC">
      <w:pPr>
        <w:spacing w:before="100" w:beforeAutospacing="1" w:after="100" w:afterAutospacing="1" w:line="276" w:lineRule="auto"/>
        <w:jc w:val="center"/>
        <w:rPr>
          <w:sz w:val="24"/>
          <w:szCs w:val="24"/>
        </w:rPr>
      </w:pPr>
      <w:r w:rsidRPr="008C3850">
        <w:rPr>
          <w:bCs/>
          <w:sz w:val="24"/>
          <w:szCs w:val="24"/>
        </w:rPr>
        <w:t xml:space="preserve">Vereador Marcos Paulo </w:t>
      </w:r>
      <w:r w:rsidRPr="008C3850">
        <w:rPr>
          <w:bCs/>
          <w:sz w:val="24"/>
          <w:szCs w:val="24"/>
        </w:rPr>
        <w:t>Cegatti</w:t>
      </w:r>
      <w:r w:rsidRPr="008C3850">
        <w:rPr>
          <w:sz w:val="24"/>
          <w:szCs w:val="24"/>
        </w:rPr>
        <w:br/>
        <w:t>Membro</w:t>
      </w:r>
    </w:p>
    <w:sectPr>
      <w:headerReference w:type="default" r:id="rId5"/>
      <w:footerReference w:type="default" r:id="rId6"/>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64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950CE"/>
    <w:multiLevelType w:val="multilevel"/>
    <w:tmpl w:val="7B0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85F24"/>
    <w:multiLevelType w:val="multilevel"/>
    <w:tmpl w:val="42C4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D5D2C"/>
    <w:multiLevelType w:val="multilevel"/>
    <w:tmpl w:val="687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82743"/>
    <w:multiLevelType w:val="multilevel"/>
    <w:tmpl w:val="F9C803B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272456DE"/>
    <w:multiLevelType w:val="multilevel"/>
    <w:tmpl w:val="88C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36784"/>
    <w:multiLevelType w:val="multilevel"/>
    <w:tmpl w:val="FAB6E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2351D4"/>
    <w:multiLevelType w:val="multilevel"/>
    <w:tmpl w:val="EAB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EA323F"/>
    <w:multiLevelType w:val="multilevel"/>
    <w:tmpl w:val="9AC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E1CFC"/>
    <w:multiLevelType w:val="multilevel"/>
    <w:tmpl w:val="610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87AD2"/>
    <w:multiLevelType w:val="multilevel"/>
    <w:tmpl w:val="2F3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256EB"/>
    <w:multiLevelType w:val="multilevel"/>
    <w:tmpl w:val="912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784835"/>
    <w:multiLevelType w:val="multilevel"/>
    <w:tmpl w:val="A5D0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B41A14"/>
    <w:multiLevelType w:val="multilevel"/>
    <w:tmpl w:val="46AE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F27E42"/>
    <w:multiLevelType w:val="multilevel"/>
    <w:tmpl w:val="21CA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883467"/>
    <w:multiLevelType w:val="multilevel"/>
    <w:tmpl w:val="21BE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80362"/>
    <w:multiLevelType w:val="multilevel"/>
    <w:tmpl w:val="EC46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A69FE"/>
    <w:multiLevelType w:val="hybridMultilevel"/>
    <w:tmpl w:val="3008047A"/>
    <w:lvl w:ilvl="0">
      <w:start w:val="0"/>
      <w:numFmt w:val="bullet"/>
      <w:lvlText w:val=""/>
      <w:lvlJc w:val="left"/>
      <w:pPr>
        <w:ind w:left="720" w:hanging="360"/>
      </w:pPr>
      <w:rPr>
        <w:rFonts w:ascii="Symbol" w:eastAsia="Times New Roman" w:hAnsi="Symbol" w:cs="Times New Roman" w:hint="default"/>
        <w:b/>
        <w:sz w:val="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A619C5"/>
    <w:multiLevelType w:val="multilevel"/>
    <w:tmpl w:val="A00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17C92"/>
    <w:multiLevelType w:val="multilevel"/>
    <w:tmpl w:val="956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E36065"/>
    <w:multiLevelType w:val="multilevel"/>
    <w:tmpl w:val="79C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B2490C"/>
    <w:multiLevelType w:val="hybridMultilevel"/>
    <w:tmpl w:val="5350AC94"/>
    <w:lvl w:ilvl="0">
      <w:start w:val="1"/>
      <w:numFmt w:val="lowerLetter"/>
      <w:lvlText w:val="%1."/>
      <w:lvlJc w:val="left"/>
      <w:pPr>
        <w:ind w:left="1656" w:hanging="36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1">
    <w:nsid w:val="668F4F73"/>
    <w:multiLevelType w:val="multilevel"/>
    <w:tmpl w:val="582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A11A52"/>
    <w:multiLevelType w:val="hybridMultilevel"/>
    <w:tmpl w:val="1E727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0E1C69"/>
    <w:multiLevelType w:val="multilevel"/>
    <w:tmpl w:val="5F6A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BC4F21"/>
    <w:multiLevelType w:val="hybridMultilevel"/>
    <w:tmpl w:val="76B6B76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DF6843"/>
    <w:multiLevelType w:val="hybridMultilevel"/>
    <w:tmpl w:val="D7E60B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615306"/>
    <w:multiLevelType w:val="multilevel"/>
    <w:tmpl w:val="93A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13"/>
  </w:num>
  <w:num w:numId="4">
    <w:abstractNumId w:val="5"/>
  </w:num>
  <w:num w:numId="5">
    <w:abstractNumId w:val="6"/>
  </w:num>
  <w:num w:numId="6">
    <w:abstractNumId w:val="26"/>
  </w:num>
  <w:num w:numId="7">
    <w:abstractNumId w:val="9"/>
  </w:num>
  <w:num w:numId="8">
    <w:abstractNumId w:val="24"/>
  </w:num>
  <w:num w:numId="9">
    <w:abstractNumId w:val="16"/>
  </w:num>
  <w:num w:numId="10">
    <w:abstractNumId w:val="8"/>
  </w:num>
  <w:num w:numId="11">
    <w:abstractNumId w:val="17"/>
  </w:num>
  <w:num w:numId="12">
    <w:abstractNumId w:val="15"/>
  </w:num>
  <w:num w:numId="13">
    <w:abstractNumId w:val="10"/>
  </w:num>
  <w:num w:numId="14">
    <w:abstractNumId w:val="12"/>
  </w:num>
  <w:num w:numId="15">
    <w:abstractNumId w:val="4"/>
  </w:num>
  <w:num w:numId="16">
    <w:abstractNumId w:val="19"/>
  </w:num>
  <w:num w:numId="17">
    <w:abstractNumId w:val="25"/>
  </w:num>
  <w:num w:numId="18">
    <w:abstractNumId w:val="21"/>
  </w:num>
  <w:num w:numId="19">
    <w:abstractNumId w:val="1"/>
  </w:num>
  <w:num w:numId="20">
    <w:abstractNumId w:val="18"/>
  </w:num>
  <w:num w:numId="21">
    <w:abstractNumId w:val="23"/>
  </w:num>
  <w:num w:numId="22">
    <w:abstractNumId w:val="7"/>
  </w:num>
  <w:num w:numId="23">
    <w:abstractNumId w:val="14"/>
  </w:num>
  <w:num w:numId="24">
    <w:abstractNumId w:val="3"/>
  </w:num>
  <w:num w:numId="25">
    <w:abstractNumId w:val="2"/>
  </w:num>
  <w:num w:numId="26">
    <w:abstractNumId w:val="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26D44"/>
    <w:rsid w:val="00080765"/>
    <w:rsid w:val="000D6F26"/>
    <w:rsid w:val="000E414F"/>
    <w:rsid w:val="000E7078"/>
    <w:rsid w:val="000F45EA"/>
    <w:rsid w:val="00106B62"/>
    <w:rsid w:val="0018302B"/>
    <w:rsid w:val="00184F80"/>
    <w:rsid w:val="00186843"/>
    <w:rsid w:val="0019435E"/>
    <w:rsid w:val="001B124E"/>
    <w:rsid w:val="001C2EF1"/>
    <w:rsid w:val="001D4EF0"/>
    <w:rsid w:val="001F2962"/>
    <w:rsid w:val="00204135"/>
    <w:rsid w:val="00206ABF"/>
    <w:rsid w:val="0021604B"/>
    <w:rsid w:val="00255AB9"/>
    <w:rsid w:val="002652A1"/>
    <w:rsid w:val="00272A03"/>
    <w:rsid w:val="002879F0"/>
    <w:rsid w:val="0029339D"/>
    <w:rsid w:val="002A3601"/>
    <w:rsid w:val="002B456D"/>
    <w:rsid w:val="002C6153"/>
    <w:rsid w:val="002E5EA4"/>
    <w:rsid w:val="002E6625"/>
    <w:rsid w:val="00310FFE"/>
    <w:rsid w:val="00314B86"/>
    <w:rsid w:val="00315A5B"/>
    <w:rsid w:val="00330322"/>
    <w:rsid w:val="00352E5F"/>
    <w:rsid w:val="003632D3"/>
    <w:rsid w:val="00381440"/>
    <w:rsid w:val="00396BD5"/>
    <w:rsid w:val="003A3B67"/>
    <w:rsid w:val="003A5AA8"/>
    <w:rsid w:val="003F4AA7"/>
    <w:rsid w:val="0041615D"/>
    <w:rsid w:val="004418DD"/>
    <w:rsid w:val="00444781"/>
    <w:rsid w:val="0045211F"/>
    <w:rsid w:val="0045382F"/>
    <w:rsid w:val="004555E9"/>
    <w:rsid w:val="00463CBE"/>
    <w:rsid w:val="00466A2B"/>
    <w:rsid w:val="004844D3"/>
    <w:rsid w:val="004A22B1"/>
    <w:rsid w:val="004A46DA"/>
    <w:rsid w:val="004D0A1B"/>
    <w:rsid w:val="004D20BE"/>
    <w:rsid w:val="004E1CCB"/>
    <w:rsid w:val="00501A6B"/>
    <w:rsid w:val="00512E83"/>
    <w:rsid w:val="0051315C"/>
    <w:rsid w:val="0051346D"/>
    <w:rsid w:val="005163AB"/>
    <w:rsid w:val="00516DD1"/>
    <w:rsid w:val="00531991"/>
    <w:rsid w:val="0056346E"/>
    <w:rsid w:val="00564A42"/>
    <w:rsid w:val="00566F2C"/>
    <w:rsid w:val="005A0199"/>
    <w:rsid w:val="005A01BC"/>
    <w:rsid w:val="005C3BD3"/>
    <w:rsid w:val="005D2B9A"/>
    <w:rsid w:val="005E5487"/>
    <w:rsid w:val="005E5A01"/>
    <w:rsid w:val="00602F85"/>
    <w:rsid w:val="00605922"/>
    <w:rsid w:val="00614281"/>
    <w:rsid w:val="006177BD"/>
    <w:rsid w:val="006179A4"/>
    <w:rsid w:val="00642F8B"/>
    <w:rsid w:val="006457C5"/>
    <w:rsid w:val="00645F20"/>
    <w:rsid w:val="00660E82"/>
    <w:rsid w:val="006B30C7"/>
    <w:rsid w:val="006B48A7"/>
    <w:rsid w:val="006F0330"/>
    <w:rsid w:val="007058BC"/>
    <w:rsid w:val="007103D5"/>
    <w:rsid w:val="00710C84"/>
    <w:rsid w:val="00716F9B"/>
    <w:rsid w:val="00722D27"/>
    <w:rsid w:val="0072400E"/>
    <w:rsid w:val="00733FC9"/>
    <w:rsid w:val="00766A52"/>
    <w:rsid w:val="0078183D"/>
    <w:rsid w:val="007841A8"/>
    <w:rsid w:val="007974F1"/>
    <w:rsid w:val="007D2A14"/>
    <w:rsid w:val="007F1043"/>
    <w:rsid w:val="007F2F33"/>
    <w:rsid w:val="008053EA"/>
    <w:rsid w:val="008115AB"/>
    <w:rsid w:val="00813BB4"/>
    <w:rsid w:val="0082424A"/>
    <w:rsid w:val="008247F7"/>
    <w:rsid w:val="00830A06"/>
    <w:rsid w:val="008377DD"/>
    <w:rsid w:val="00850C9B"/>
    <w:rsid w:val="0085374D"/>
    <w:rsid w:val="008615FD"/>
    <w:rsid w:val="00866A1A"/>
    <w:rsid w:val="008A5A74"/>
    <w:rsid w:val="008B0EA4"/>
    <w:rsid w:val="008C3850"/>
    <w:rsid w:val="008C6540"/>
    <w:rsid w:val="008E37BC"/>
    <w:rsid w:val="008F734D"/>
    <w:rsid w:val="00922054"/>
    <w:rsid w:val="00956844"/>
    <w:rsid w:val="00957F2C"/>
    <w:rsid w:val="00976458"/>
    <w:rsid w:val="0098178C"/>
    <w:rsid w:val="00982904"/>
    <w:rsid w:val="009878D9"/>
    <w:rsid w:val="009A1FFA"/>
    <w:rsid w:val="009E292A"/>
    <w:rsid w:val="009F7E99"/>
    <w:rsid w:val="00A14033"/>
    <w:rsid w:val="00A14564"/>
    <w:rsid w:val="00A2646B"/>
    <w:rsid w:val="00A3081B"/>
    <w:rsid w:val="00A4233E"/>
    <w:rsid w:val="00A45E06"/>
    <w:rsid w:val="00A661F9"/>
    <w:rsid w:val="00A77BB5"/>
    <w:rsid w:val="00A8293C"/>
    <w:rsid w:val="00AB4969"/>
    <w:rsid w:val="00AC41C2"/>
    <w:rsid w:val="00AD47FD"/>
    <w:rsid w:val="00AD6C09"/>
    <w:rsid w:val="00B026BE"/>
    <w:rsid w:val="00B1395A"/>
    <w:rsid w:val="00B341D3"/>
    <w:rsid w:val="00B357A9"/>
    <w:rsid w:val="00B37CE9"/>
    <w:rsid w:val="00B56F78"/>
    <w:rsid w:val="00B94425"/>
    <w:rsid w:val="00B956A8"/>
    <w:rsid w:val="00B97326"/>
    <w:rsid w:val="00BA45DE"/>
    <w:rsid w:val="00BA5959"/>
    <w:rsid w:val="00BB4B19"/>
    <w:rsid w:val="00BC5ED3"/>
    <w:rsid w:val="00BE288F"/>
    <w:rsid w:val="00BF1E5C"/>
    <w:rsid w:val="00BF3131"/>
    <w:rsid w:val="00C02554"/>
    <w:rsid w:val="00C3139A"/>
    <w:rsid w:val="00C334A7"/>
    <w:rsid w:val="00C34A3D"/>
    <w:rsid w:val="00C41CD9"/>
    <w:rsid w:val="00C53CBB"/>
    <w:rsid w:val="00C75697"/>
    <w:rsid w:val="00C86951"/>
    <w:rsid w:val="00CB0B46"/>
    <w:rsid w:val="00CF06D1"/>
    <w:rsid w:val="00CF0FBF"/>
    <w:rsid w:val="00D01B55"/>
    <w:rsid w:val="00D16CDC"/>
    <w:rsid w:val="00D2557E"/>
    <w:rsid w:val="00D62AE2"/>
    <w:rsid w:val="00D73B1A"/>
    <w:rsid w:val="00D764F9"/>
    <w:rsid w:val="00D77F3C"/>
    <w:rsid w:val="00D87740"/>
    <w:rsid w:val="00DA1E4A"/>
    <w:rsid w:val="00DB055E"/>
    <w:rsid w:val="00DB6F99"/>
    <w:rsid w:val="00DC5048"/>
    <w:rsid w:val="00DC5CF2"/>
    <w:rsid w:val="00DE0F3B"/>
    <w:rsid w:val="00E01CAC"/>
    <w:rsid w:val="00E2537D"/>
    <w:rsid w:val="00E41D0D"/>
    <w:rsid w:val="00E5668D"/>
    <w:rsid w:val="00E80FEE"/>
    <w:rsid w:val="00E851C4"/>
    <w:rsid w:val="00E933D7"/>
    <w:rsid w:val="00EA67F6"/>
    <w:rsid w:val="00EC3DC0"/>
    <w:rsid w:val="00EC4D65"/>
    <w:rsid w:val="00EC5039"/>
    <w:rsid w:val="00EC54AD"/>
    <w:rsid w:val="00EE5DD3"/>
    <w:rsid w:val="00F03B9A"/>
    <w:rsid w:val="00F202AB"/>
    <w:rsid w:val="00F4149B"/>
    <w:rsid w:val="00F451BA"/>
    <w:rsid w:val="00F53FFD"/>
    <w:rsid w:val="00FC5009"/>
    <w:rsid w:val="00FD0E69"/>
    <w:rsid w:val="00FD2B70"/>
    <w:rsid w:val="00FE32E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rPr>
      <w:b/>
      <w:bCs/>
      <w:sz w:val="32"/>
      <w:szCs w:val="24"/>
      <w:u w:val="single"/>
      <w:lang w:eastAsia="ar-SA"/>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character" w:styleId="Strong">
    <w:name w:val="Strong"/>
    <w:basedOn w:val="DefaultParagraphFont"/>
    <w:uiPriority w:val="22"/>
    <w:qFormat/>
    <w:rsid w:val="00766A52"/>
    <w:rPr>
      <w:b/>
      <w:bCs/>
    </w:rPr>
  </w:style>
  <w:style w:type="character" w:styleId="Hyperlink">
    <w:name w:val="Hyperlink"/>
    <w:basedOn w:val="DefaultParagraphFont"/>
    <w:uiPriority w:val="99"/>
    <w:semiHidden/>
    <w:unhideWhenUsed/>
    <w:rsid w:val="00463CBE"/>
    <w:rPr>
      <w:color w:val="0000FF"/>
      <w:u w:val="single"/>
    </w:rPr>
  </w:style>
  <w:style w:type="character" w:customStyle="1" w:styleId="CorpodetextoChar">
    <w:name w:val="Corpo de texto Char"/>
    <w:basedOn w:val="DefaultParagraphFont"/>
    <w:link w:val="BodyText"/>
    <w:rsid w:val="00566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E4C66-747E-4F8F-B010-B81DB4A3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1952</Words>
  <Characters>10547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Coran</cp:lastModifiedBy>
  <cp:revision>12</cp:revision>
  <cp:lastPrinted>2023-09-06T14:30:00Z</cp:lastPrinted>
  <dcterms:created xsi:type="dcterms:W3CDTF">2026-03-18T18:06:00Z</dcterms:created>
  <dcterms:modified xsi:type="dcterms:W3CDTF">2026-03-31T13:15:00Z</dcterms:modified>
  <dc:language>pt-BR</dc:language>
</cp:coreProperties>
</file>