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06BF" w:rsidRPr="00F621DE" w:rsidP="00BC06BF" w14:paraId="131AA038" w14:textId="77777777">
      <w:pPr>
        <w:overflowPunct w:val="0"/>
        <w:autoSpaceDN w:val="0"/>
        <w:spacing w:before="120" w:after="120" w:line="276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</w:pP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1 ao Projeto de Lei Nº 12/2026</w:t>
      </w:r>
      <w:r w:rsidRPr="00F621DE">
        <w:rPr>
          <w:rFonts w:ascii="Courier New" w:hAnsi="Courier New" w:cs="Courier New"/>
          <w:b/>
          <w:bCs/>
          <w:kern w:val="3"/>
          <w:sz w:val="24"/>
          <w:szCs w:val="24"/>
          <w:u w:val="single"/>
        </w:rPr>
        <w:t>Emenda Nº 1 ao Projeto de Lei Nº 12/2026</w:t>
      </w:r>
    </w:p>
    <w:p w:rsidR="00BC06BF" w:rsidP="00BC06BF" w14:paraId="7F812FF3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6A4085" w:rsidP="00BC06BF" w14:paraId="3EB0865C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C315C8" w:rsidRPr="00C315C8" w:rsidP="00C315C8" w14:paraId="66BA40BA" w14:textId="40890222">
      <w:pPr>
        <w:overflowPunct w:val="0"/>
        <w:autoSpaceDN w:val="0"/>
        <w:spacing w:before="120" w:after="120" w:line="276" w:lineRule="auto"/>
        <w:jc w:val="right"/>
        <w:rPr>
          <w:rFonts w:ascii="Courier New" w:hAnsi="Courier New" w:cs="Courier New"/>
          <w:i/>
          <w:iCs/>
          <w:kern w:val="3"/>
        </w:rPr>
      </w:pPr>
      <w:r>
        <w:rPr>
          <w:rFonts w:ascii="Courier New" w:hAnsi="Courier New" w:cs="Courier New"/>
          <w:i/>
          <w:iCs/>
          <w:kern w:val="3"/>
        </w:rPr>
        <w:t>(</w:t>
      </w:r>
      <w:r w:rsidRPr="00C315C8">
        <w:rPr>
          <w:rFonts w:ascii="Courier New" w:hAnsi="Courier New" w:cs="Courier New"/>
          <w:i/>
          <w:iCs/>
          <w:kern w:val="3"/>
        </w:rPr>
        <w:t xml:space="preserve">EMENDA </w:t>
      </w:r>
      <w:r w:rsidRPr="00B86888" w:rsidR="00B86888">
        <w:rPr>
          <w:rFonts w:ascii="Courier New" w:hAnsi="Courier New" w:cs="Courier New"/>
          <w:i/>
          <w:iCs/>
          <w:kern w:val="3"/>
        </w:rPr>
        <w:t>ADITIVA</w:t>
      </w:r>
      <w:r w:rsidR="00B86888">
        <w:rPr>
          <w:rFonts w:ascii="Courier New" w:hAnsi="Courier New" w:cs="Courier New"/>
          <w:i/>
          <w:iCs/>
          <w:kern w:val="3"/>
        </w:rPr>
        <w:t xml:space="preserve"> </w:t>
      </w:r>
      <w:r w:rsidRPr="00C315C8">
        <w:rPr>
          <w:rFonts w:ascii="Courier New" w:hAnsi="Courier New" w:cs="Courier New"/>
          <w:i/>
          <w:iCs/>
          <w:kern w:val="3"/>
        </w:rPr>
        <w:t>AO PROJETO DE LEI Nº 12/2026</w:t>
      </w:r>
      <w:r>
        <w:rPr>
          <w:rFonts w:ascii="Courier New" w:hAnsi="Courier New" w:cs="Courier New"/>
          <w:i/>
          <w:iCs/>
          <w:kern w:val="3"/>
        </w:rPr>
        <w:t>)</w:t>
      </w:r>
    </w:p>
    <w:p w:rsidR="00BC06BF" w:rsidRPr="006A4085" w:rsidP="00BC06BF" w14:paraId="1A19728B" w14:textId="125211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kern w:val="3"/>
        </w:rPr>
      </w:pPr>
    </w:p>
    <w:p w:rsidR="00BC06BF" w:rsidRPr="006A4085" w:rsidP="00BC06BF" w14:paraId="38896678" w14:textId="77777777">
      <w:pPr>
        <w:overflowPunct w:val="0"/>
        <w:autoSpaceDN w:val="0"/>
        <w:spacing w:before="120" w:after="120" w:line="276" w:lineRule="auto"/>
        <w:jc w:val="both"/>
        <w:rPr>
          <w:rFonts w:ascii="Courier New" w:hAnsi="Courier New" w:cs="Courier New"/>
          <w:bCs/>
          <w:kern w:val="3"/>
        </w:rPr>
      </w:pPr>
    </w:p>
    <w:p w:rsidR="00C315C8" w:rsidRPr="00C315C8" w:rsidP="00C315C8" w14:paraId="2F85064C" w14:textId="39BE474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  <w:r w:rsidRPr="000B231B">
        <w:rPr>
          <w:rFonts w:ascii="Courier New" w:hAnsi="Courier New" w:cs="Courier New"/>
        </w:rPr>
        <w:t>Acrescenta-se o Art. 5º-A ao Projeto de Lei nº 12/2026, com a seguinte redação</w:t>
      </w:r>
      <w:r w:rsidR="003F2FA4">
        <w:rPr>
          <w:rFonts w:ascii="Courier New" w:hAnsi="Courier New" w:cs="Courier New"/>
        </w:rPr>
        <w:t>:</w:t>
      </w:r>
    </w:p>
    <w:p w:rsidR="008F20CC" w:rsidP="006A4085" w14:paraId="3262CBEB" w14:textId="4C1A7EF3">
      <w:pPr>
        <w:spacing w:before="120" w:after="120" w:line="360" w:lineRule="auto"/>
        <w:ind w:firstLine="708"/>
        <w:jc w:val="both"/>
        <w:rPr>
          <w:rFonts w:ascii="Courier New" w:hAnsi="Courier New" w:cs="Courier New"/>
        </w:rPr>
      </w:pPr>
    </w:p>
    <w:p w:rsidR="003F2FA4" w:rsidRPr="00C315C8" w:rsidP="003F2FA4" w14:paraId="165B7EF5" w14:textId="57CD0B90">
      <w:pPr>
        <w:spacing w:before="120" w:after="120"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r w:rsidRPr="000B231B" w:rsidR="000B231B">
        <w:rPr>
          <w:rFonts w:ascii="Courier New" w:hAnsi="Courier New" w:cs="Courier New"/>
          <w:b/>
          <w:bCs/>
        </w:rPr>
        <w:t>Art. 5º-A.</w:t>
      </w:r>
      <w:r w:rsidRPr="000B231B" w:rsidR="000B231B">
        <w:rPr>
          <w:rFonts w:ascii="Courier New" w:hAnsi="Courier New" w:cs="Courier New"/>
        </w:rPr>
        <w:t xml:space="preserve"> A adesão de escolas da rede privada, a ser formalizada pelo Termo de que trata o Art. 7º, poderá prever, em comum acordo entre as partes, contrapartidas de interesse social, como a oferta de atividades abertas à comunidade ou a disponibilização de sua infraestrutura para eventos públicos, observados os princípios da razoabilidade e da proporcionalidade.</w:t>
      </w:r>
      <w:r>
        <w:rPr>
          <w:rFonts w:ascii="Courier New" w:hAnsi="Courier New" w:cs="Courier New"/>
        </w:rPr>
        <w:t>”</w:t>
      </w:r>
    </w:p>
    <w:p w:rsidR="00C315C8" w:rsidRPr="00C315C8" w:rsidP="00C315C8" w14:paraId="2D489E64" w14:textId="52B0A141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424CF2" w:rsidRPr="00424CF2" w:rsidP="00424CF2" w14:paraId="28F0740A" w14:textId="4487C7BA">
      <w:pPr>
        <w:spacing w:before="120" w:after="120" w:line="360" w:lineRule="auto"/>
        <w:jc w:val="right"/>
        <w:rPr>
          <w:rFonts w:ascii="Courier New" w:hAnsi="Courier New" w:cs="Courier New"/>
          <w:i/>
          <w:iCs/>
        </w:rPr>
      </w:pPr>
      <w:r w:rsidRPr="00424CF2">
        <w:rPr>
          <w:rFonts w:ascii="Courier New" w:hAnsi="Courier New" w:cs="Courier New"/>
          <w:i/>
          <w:iCs/>
        </w:rPr>
        <w:t xml:space="preserve">Sala das Sessões “Vereador Santo </w:t>
      </w:r>
      <w:r w:rsidRPr="00424CF2">
        <w:rPr>
          <w:rFonts w:ascii="Courier New" w:hAnsi="Courier New" w:cs="Courier New"/>
          <w:i/>
          <w:iCs/>
        </w:rPr>
        <w:t>Róttoli</w:t>
      </w:r>
      <w:r w:rsidRPr="00424CF2">
        <w:rPr>
          <w:rFonts w:ascii="Courier New" w:hAnsi="Courier New" w:cs="Courier New"/>
          <w:i/>
          <w:iCs/>
        </w:rPr>
        <w:t xml:space="preserve">”, </w:t>
      </w:r>
      <w:r w:rsidRPr="00424CF2">
        <w:rPr>
          <w:rFonts w:ascii="Courier New" w:hAnsi="Courier New" w:cs="Courier New"/>
          <w:i/>
          <w:iCs/>
        </w:rPr>
        <w:fldChar w:fldCharType="begin"/>
      </w:r>
      <w:r w:rsidRPr="00424CF2">
        <w:rPr>
          <w:rFonts w:ascii="Courier New" w:hAnsi="Courier New" w:cs="Courier New"/>
          <w:i/>
          <w:iCs/>
        </w:rPr>
        <w:instrText xml:space="preserve"> TIME \@ "d' de 'MMMM' de 'yyyy" </w:instrText>
      </w:r>
      <w:r w:rsidRPr="00424CF2">
        <w:rPr>
          <w:rFonts w:ascii="Courier New" w:hAnsi="Courier New" w:cs="Courier New"/>
          <w:i/>
          <w:iCs/>
        </w:rPr>
        <w:fldChar w:fldCharType="separate"/>
      </w:r>
      <w:r w:rsidRPr="00424CF2">
        <w:rPr>
          <w:rFonts w:ascii="Courier New" w:hAnsi="Courier New" w:cs="Courier New"/>
          <w:i/>
          <w:iCs/>
        </w:rPr>
        <w:t>13 de abril de 2026</w:t>
      </w:r>
      <w:r w:rsidRPr="00424CF2">
        <w:rPr>
          <w:rFonts w:ascii="Courier New" w:hAnsi="Courier New" w:cs="Courier New"/>
          <w:i/>
          <w:iCs/>
        </w:rPr>
        <w:fldChar w:fldCharType="end"/>
      </w:r>
      <w:r w:rsidRPr="00424CF2">
        <w:rPr>
          <w:rFonts w:ascii="Courier New" w:hAnsi="Courier New" w:cs="Courier New"/>
          <w:i/>
          <w:iCs/>
        </w:rPr>
        <w:t>.</w:t>
      </w:r>
    </w:p>
    <w:p w:rsidR="00424CF2" w:rsidP="006A4085" w14:paraId="343E03A1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C315C8" w:rsidRPr="006A4085" w:rsidP="006A4085" w14:paraId="0ABF981A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424CF2" w:rsidRPr="00424CF2" w:rsidP="00424CF2" w14:paraId="4AF5269B" w14:textId="77777777">
      <w:pPr>
        <w:spacing w:line="480" w:lineRule="auto"/>
        <w:jc w:val="center"/>
        <w:rPr>
          <w:rFonts w:ascii="Courier New" w:hAnsi="Courier New" w:cs="Courier New"/>
        </w:rPr>
      </w:pPr>
      <w:r w:rsidRPr="00424CF2">
        <w:rPr>
          <w:rFonts w:ascii="Courier New" w:hAnsi="Courier New" w:cs="Courier New"/>
          <w:i/>
          <w:iCs/>
        </w:rPr>
        <w:t>(assinado digitalmente)</w:t>
      </w:r>
    </w:p>
    <w:p w:rsidR="00424CF2" w:rsidRPr="00424CF2" w:rsidP="00424CF2" w14:paraId="39D6F33B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24CF2">
        <w:rPr>
          <w:rFonts w:ascii="Courier New" w:hAnsi="Courier New" w:cs="Courier New"/>
          <w:b/>
          <w:bCs/>
        </w:rPr>
        <w:t>VEREADOR ERNANI LUIZ DONATTI GRAGNANELLO</w:t>
      </w:r>
      <w:r w:rsidRPr="00424CF2">
        <w:rPr>
          <w:rFonts w:ascii="Courier New" w:hAnsi="Courier New" w:cs="Courier New"/>
          <w:b/>
          <w:bCs/>
        </w:rPr>
        <w:br/>
        <w:t>PARTIDO DOS TRABALHADORES (PT)</w:t>
      </w:r>
    </w:p>
    <w:p w:rsidR="00424CF2" w:rsidRPr="00424CF2" w:rsidP="00424CF2" w14:paraId="063DFFFE" w14:textId="777777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:rsidR="002575B7" w:rsidP="002575B7" w14:paraId="6A10237E" w14:textId="358EECD8">
      <w:pPr>
        <w:spacing w:before="120" w:after="120" w:line="360" w:lineRule="auto"/>
        <w:jc w:val="center"/>
        <w:rPr>
          <w:rFonts w:ascii="Courier New" w:hAnsi="Courier New" w:cs="Courier New"/>
        </w:rPr>
      </w:pPr>
      <w:r w:rsidRPr="000E658D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914786" cy="1352550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77445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79" cy="136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4085">
        <w:rPr>
          <w:rFonts w:ascii="Courier New" w:hAnsi="Courier New" w:cs="Courier New"/>
        </w:rPr>
        <w:br w:type="page"/>
      </w:r>
    </w:p>
    <w:p w:rsidR="00424CF2" w:rsidRPr="00C315C8" w:rsidP="00424CF2" w14:paraId="02B6DD8E" w14:textId="35CF1E7F">
      <w:pPr>
        <w:spacing w:before="120" w:after="120"/>
        <w:jc w:val="center"/>
        <w:rPr>
          <w:rFonts w:ascii="Courier New" w:hAnsi="Courier New" w:cs="Courier New"/>
          <w:b/>
          <w:bCs/>
          <w:u w:val="single"/>
        </w:rPr>
      </w:pPr>
      <w:r w:rsidRPr="00C315C8">
        <w:rPr>
          <w:rFonts w:ascii="Courier New" w:hAnsi="Courier New" w:cs="Courier New"/>
          <w:b/>
          <w:bCs/>
          <w:u w:val="single"/>
        </w:rPr>
        <w:t>JUSTIFICAÇÃO</w:t>
      </w:r>
    </w:p>
    <w:p w:rsidR="00C315C8" w:rsidP="00FB0DF0" w14:paraId="32748FEA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152F64" w:rsidP="00465585" w14:paraId="0E0DA75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</w:rPr>
        <w:t xml:space="preserve">A presente proposição legislativa visa fomentar o </w:t>
      </w:r>
      <w:r w:rsidRPr="00465585">
        <w:rPr>
          <w:rFonts w:ascii="Courier New" w:hAnsi="Courier New" w:cs="Courier New"/>
          <w:b/>
          <w:bCs/>
        </w:rPr>
        <w:t>Princípio da Cooperação</w:t>
      </w:r>
      <w:r w:rsidRPr="00465585">
        <w:rPr>
          <w:rFonts w:ascii="Courier New" w:hAnsi="Courier New" w:cs="Courier New"/>
        </w:rPr>
        <w:t xml:space="preserve"> entre a Administração Pública e a iniciativa privada, estabelecendo um ambiente de mútua assistência que amplifica o alcance social das políticas públicas setoriais.</w:t>
      </w:r>
    </w:p>
    <w:p w:rsidR="00152F64" w:rsidP="00465585" w14:paraId="3DECD15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</w:rPr>
        <w:t xml:space="preserve">Ao transmudar a natureza da norma de uma imposição unilateral para uma faculdade exercida em comum acordo, a medida prestigia o </w:t>
      </w:r>
      <w:r w:rsidRPr="00465585">
        <w:rPr>
          <w:rFonts w:ascii="Courier New" w:hAnsi="Courier New" w:cs="Courier New"/>
          <w:b/>
          <w:bCs/>
        </w:rPr>
        <w:t>Princípio da Autonomia da Vontade</w:t>
      </w:r>
      <w:r w:rsidRPr="00465585">
        <w:rPr>
          <w:rFonts w:ascii="Courier New" w:hAnsi="Courier New" w:cs="Courier New"/>
        </w:rPr>
        <w:t xml:space="preserve"> e o </w:t>
      </w:r>
      <w:r w:rsidRPr="00465585">
        <w:rPr>
          <w:rFonts w:ascii="Courier New" w:hAnsi="Courier New" w:cs="Courier New"/>
          <w:b/>
          <w:bCs/>
        </w:rPr>
        <w:t>Princípio da Livre Iniciativa</w:t>
      </w:r>
      <w:r w:rsidRPr="00465585">
        <w:rPr>
          <w:rFonts w:ascii="Courier New" w:hAnsi="Courier New" w:cs="Courier New"/>
        </w:rPr>
        <w:t xml:space="preserve">, incentivando o engajamento das instituições de ensino particulares com a comunidade local sob a égide do </w:t>
      </w:r>
      <w:r w:rsidRPr="00465585">
        <w:rPr>
          <w:rFonts w:ascii="Courier New" w:hAnsi="Courier New" w:cs="Courier New"/>
          <w:i/>
          <w:iCs/>
        </w:rPr>
        <w:t>consensualismo</w:t>
      </w:r>
      <w:r w:rsidRPr="00465585">
        <w:rPr>
          <w:rFonts w:ascii="Courier New" w:hAnsi="Courier New" w:cs="Courier New"/>
        </w:rPr>
        <w:t>.</w:t>
      </w:r>
    </w:p>
    <w:p w:rsidR="00465585" w:rsidRPr="00465585" w:rsidP="00465585" w14:paraId="2F7E09B5" w14:textId="185632F0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</w:rPr>
        <w:t xml:space="preserve">Tal mudança de paradigma afasta o vício de inconstitucionalidade por desproporcionalidade, adequando a norma ao </w:t>
      </w:r>
      <w:r w:rsidRPr="00465585">
        <w:rPr>
          <w:rFonts w:ascii="Courier New" w:hAnsi="Courier New" w:cs="Courier New"/>
          <w:b/>
          <w:bCs/>
        </w:rPr>
        <w:t>Princípio da Razoabilidade</w:t>
      </w:r>
      <w:r w:rsidRPr="00465585">
        <w:rPr>
          <w:rFonts w:ascii="Courier New" w:hAnsi="Courier New" w:cs="Courier New"/>
        </w:rPr>
        <w:t xml:space="preserve"> e garantindo que a participação privada ocorra de forma voluntária e harmônica com o interesse da coletividade.</w:t>
      </w:r>
    </w:p>
    <w:p w:rsidR="00152F64" w:rsidP="00465585" w14:paraId="40F26A0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</w:rPr>
        <w:t xml:space="preserve">Nesse contexto, a redação proposta atua como salvaguarda do </w:t>
      </w:r>
      <w:r w:rsidRPr="00465585">
        <w:rPr>
          <w:rFonts w:ascii="Courier New" w:hAnsi="Courier New" w:cs="Courier New"/>
          <w:b/>
          <w:bCs/>
        </w:rPr>
        <w:t>Princípio do Direito de Propriedade</w:t>
      </w:r>
      <w:r w:rsidRPr="00465585">
        <w:rPr>
          <w:rFonts w:ascii="Courier New" w:hAnsi="Courier New" w:cs="Courier New"/>
        </w:rPr>
        <w:t>, evitando incursões estatais indevidas na esfera particular que poderiam caracterizar confisco ou intervenção arbitrária no domínio econômico.</w:t>
      </w:r>
    </w:p>
    <w:p w:rsidR="00152F64" w:rsidP="00465585" w14:paraId="717EE60C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</w:rPr>
        <w:t xml:space="preserve">Ao estabelecer a celebração de contrapartidas mediante ajuste bilateral, a emenda honra o </w:t>
      </w:r>
      <w:r w:rsidRPr="00465585">
        <w:rPr>
          <w:rFonts w:ascii="Courier New" w:hAnsi="Courier New" w:cs="Courier New"/>
          <w:b/>
          <w:bCs/>
        </w:rPr>
        <w:t>Princípio da Segurança Jurídica</w:t>
      </w:r>
      <w:r w:rsidRPr="00465585">
        <w:rPr>
          <w:rFonts w:ascii="Courier New" w:hAnsi="Courier New" w:cs="Courier New"/>
        </w:rPr>
        <w:t xml:space="preserve"> e o brocardo </w:t>
      </w:r>
      <w:r w:rsidRPr="00465585">
        <w:rPr>
          <w:rFonts w:ascii="Courier New" w:hAnsi="Courier New" w:cs="Courier New"/>
          <w:i/>
          <w:iCs/>
        </w:rPr>
        <w:t>pacta sunt servanda</w:t>
      </w:r>
      <w:r w:rsidRPr="00465585">
        <w:rPr>
          <w:rFonts w:ascii="Courier New" w:hAnsi="Courier New" w:cs="Courier New"/>
        </w:rPr>
        <w:t>, criando um mecanismo jurídico flexível que permite ao Poder Executivo negociar benefícios sociais sem transgredir os limites constitucionais.</w:t>
      </w:r>
    </w:p>
    <w:p w:rsidR="00465585" w:rsidRPr="00465585" w:rsidP="00465585" w14:paraId="7DFFE418" w14:textId="39C16F44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Há de se observar que </w:t>
      </w:r>
      <w:r w:rsidRPr="00465585">
        <w:rPr>
          <w:rFonts w:ascii="Courier New" w:hAnsi="Courier New" w:cs="Courier New"/>
          <w:b/>
          <w:bCs/>
          <w:i/>
          <w:iCs/>
        </w:rPr>
        <w:t xml:space="preserve">Marçal </w:t>
      </w:r>
      <w:r w:rsidRPr="00465585">
        <w:rPr>
          <w:rFonts w:ascii="Courier New" w:hAnsi="Courier New" w:cs="Courier New"/>
          <w:b/>
          <w:bCs/>
          <w:i/>
          <w:iCs/>
        </w:rPr>
        <w:t>Justen</w:t>
      </w:r>
      <w:r w:rsidRPr="00465585">
        <w:rPr>
          <w:rFonts w:ascii="Courier New" w:hAnsi="Courier New" w:cs="Courier New"/>
          <w:b/>
          <w:bCs/>
          <w:i/>
          <w:iCs/>
        </w:rPr>
        <w:t xml:space="preserve"> Filho</w:t>
      </w:r>
      <w:r w:rsidRPr="00465585">
        <w:rPr>
          <w:rFonts w:ascii="Courier New" w:hAnsi="Courier New" w:cs="Courier New"/>
        </w:rPr>
        <w:t>, ao tratar de parcerias com o setor privado, defende que a colaboração deve ser pautada pela consensualidade e pelo equilíbrio, evitando-se imposições unilaterais do Estado que desestimulem a cooperação</w:t>
      </w:r>
      <w:r>
        <w:rPr>
          <w:rFonts w:ascii="Courier New" w:hAnsi="Courier New" w:cs="Courier New"/>
        </w:rPr>
        <w:t xml:space="preserve"> (</w:t>
      </w:r>
      <w:r w:rsidRPr="00465585">
        <w:rPr>
          <w:rFonts w:ascii="Courier New" w:hAnsi="Courier New" w:cs="Courier New"/>
          <w:i/>
          <w:iCs/>
        </w:rPr>
        <w:t>JUSTEN</w:t>
      </w:r>
      <w:r w:rsidRPr="00465585">
        <w:rPr>
          <w:rFonts w:ascii="Courier New" w:hAnsi="Courier New" w:cs="Courier New"/>
          <w:i/>
          <w:iCs/>
        </w:rPr>
        <w:t xml:space="preserve"> FILHO, Marçal. Curso de Direito Administrativo. 17. ed. São Paulo: Thomson Reuters Brasil, 2021</w:t>
      </w:r>
      <w:r>
        <w:rPr>
          <w:rFonts w:ascii="Courier New" w:hAnsi="Courier New" w:cs="Courier New"/>
        </w:rPr>
        <w:t>)</w:t>
      </w:r>
      <w:r w:rsidRPr="00465585">
        <w:rPr>
          <w:rFonts w:ascii="Courier New" w:hAnsi="Courier New" w:cs="Courier New"/>
        </w:rPr>
        <w:t>.</w:t>
      </w:r>
    </w:p>
    <w:p w:rsidR="00465585" w:rsidRPr="00465585" w:rsidP="00465585" w14:paraId="5CDE7191" w14:textId="21DCFF56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  <w:b/>
          <w:bCs/>
          <w:i/>
          <w:iCs/>
        </w:rPr>
        <w:t>Luís Roberto Barroso</w:t>
      </w:r>
      <w:r w:rsidRPr="00465585">
        <w:rPr>
          <w:rFonts w:ascii="Courier New" w:hAnsi="Courier New" w:cs="Courier New"/>
        </w:rPr>
        <w:t xml:space="preserve"> explica que o </w:t>
      </w:r>
      <w:r w:rsidRPr="00465585">
        <w:rPr>
          <w:rFonts w:ascii="Courier New" w:hAnsi="Courier New" w:cs="Courier New"/>
          <w:b/>
          <w:bCs/>
        </w:rPr>
        <w:t xml:space="preserve">Princípio </w:t>
      </w:r>
      <w:r w:rsidRPr="00465585">
        <w:rPr>
          <w:rFonts w:ascii="Courier New" w:hAnsi="Courier New" w:cs="Courier New"/>
          <w:b/>
          <w:bCs/>
        </w:rPr>
        <w:t xml:space="preserve">da </w:t>
      </w:r>
      <w:r w:rsidRPr="00465585">
        <w:rPr>
          <w:rFonts w:ascii="Courier New" w:hAnsi="Courier New" w:cs="Courier New"/>
          <w:b/>
          <w:bCs/>
        </w:rPr>
        <w:t>Proporcionalidade</w:t>
      </w:r>
      <w:r w:rsidRPr="00465585">
        <w:rPr>
          <w:rFonts w:ascii="Courier New" w:hAnsi="Courier New" w:cs="Courier New"/>
        </w:rPr>
        <w:t xml:space="preserve"> </w:t>
      </w:r>
      <w:r w:rsidRPr="00465585">
        <w:rPr>
          <w:rFonts w:ascii="Courier New" w:hAnsi="Courier New" w:cs="Courier New"/>
        </w:rPr>
        <w:t xml:space="preserve">(ou </w:t>
      </w:r>
      <w:r w:rsidRPr="00465585">
        <w:rPr>
          <w:rFonts w:ascii="Courier New" w:hAnsi="Courier New" w:cs="Courier New"/>
        </w:rPr>
        <w:t>Razoabilidade</w:t>
      </w:r>
      <w:r w:rsidRPr="00465585">
        <w:rPr>
          <w:rFonts w:ascii="Courier New" w:hAnsi="Courier New" w:cs="Courier New"/>
        </w:rPr>
        <w:t xml:space="preserve">) atua como um limite à intervenção do Estado na autonomia privada. Uma exigência estatal será inconstitucional se for inadequada, desnecessária ou excessiva (desproporcional em sentido </w:t>
      </w:r>
      <w:r w:rsidRPr="00465585">
        <w:rPr>
          <w:rFonts w:ascii="Courier New" w:hAnsi="Courier New" w:cs="Courier New"/>
        </w:rPr>
        <w:t>estrito). A emenda incorpora este princípio ao prever o "comum acordo"</w:t>
      </w:r>
      <w:r>
        <w:rPr>
          <w:rFonts w:ascii="Courier New" w:hAnsi="Courier New" w:cs="Courier New"/>
        </w:rPr>
        <w:t xml:space="preserve"> (</w:t>
      </w:r>
      <w:r w:rsidRPr="00465585">
        <w:rPr>
          <w:rFonts w:ascii="Courier New" w:hAnsi="Courier New" w:cs="Courier New"/>
          <w:i/>
          <w:iCs/>
        </w:rPr>
        <w:t>BARROSO, Luís Roberto. A Dignidade da Pessoa Humana no Direito Constitucional Contemporâneo: A Construção de um Conceito Jurídico à Luz da Jurisprudência Mundial. 3. ed. Belo Horizonte: Fórum, 2014. (Especialmente a parte que trata da metodologia de aplicação dos princípios da proporcionalidade e razoabilidade).</w:t>
      </w:r>
    </w:p>
    <w:p w:rsidR="00465585" w:rsidP="00465585" w14:paraId="72100226" w14:textId="158B8FEC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  <w:b/>
          <w:bCs/>
          <w:i/>
          <w:iCs/>
        </w:rPr>
        <w:t>Eros Roberto Grau</w:t>
      </w:r>
      <w:r w:rsidRPr="00465585">
        <w:rPr>
          <w:rFonts w:ascii="Courier New" w:hAnsi="Courier New" w:cs="Courier New"/>
        </w:rPr>
        <w:t xml:space="preserve">, ao analisar a ordem econômica na Constituição, afirma que a intervenção do Estado na economia deve ser harmônica com o </w:t>
      </w:r>
      <w:r w:rsidRPr="00465585">
        <w:rPr>
          <w:rFonts w:ascii="Courier New" w:hAnsi="Courier New" w:cs="Courier New"/>
          <w:b/>
          <w:bCs/>
        </w:rPr>
        <w:t xml:space="preserve">Princípio </w:t>
      </w:r>
      <w:r w:rsidRPr="00465585">
        <w:rPr>
          <w:rFonts w:ascii="Courier New" w:hAnsi="Courier New" w:cs="Courier New"/>
          <w:b/>
          <w:bCs/>
        </w:rPr>
        <w:t xml:space="preserve">da </w:t>
      </w:r>
      <w:r w:rsidRPr="00465585">
        <w:rPr>
          <w:rFonts w:ascii="Courier New" w:hAnsi="Courier New" w:cs="Courier New"/>
          <w:b/>
          <w:bCs/>
        </w:rPr>
        <w:t>Livre Iniciativa</w:t>
      </w:r>
      <w:r w:rsidRPr="00465585">
        <w:rPr>
          <w:rFonts w:ascii="Courier New" w:hAnsi="Courier New" w:cs="Courier New"/>
        </w:rPr>
        <w:t>. A emenda proposta se alinha a essa visão, pois fomenta a função social da propriedade por meio do estímulo e da negociação, e não da coerção</w:t>
      </w:r>
      <w:r>
        <w:rPr>
          <w:rFonts w:ascii="Courier New" w:hAnsi="Courier New" w:cs="Courier New"/>
        </w:rPr>
        <w:t xml:space="preserve"> (</w:t>
      </w:r>
      <w:r w:rsidRPr="00465585">
        <w:rPr>
          <w:rFonts w:ascii="Courier New" w:hAnsi="Courier New" w:cs="Courier New"/>
          <w:i/>
          <w:iCs/>
        </w:rPr>
        <w:t>GRAU, Eros Roberto. A Ordem Econômica na Constituição de 1988. 19. ed. São Paulo: Malheiros, 2018</w:t>
      </w:r>
      <w:r w:rsidRPr="00465585">
        <w:rPr>
          <w:rFonts w:ascii="Courier New" w:hAnsi="Courier New" w:cs="Courier New"/>
          <w:i/>
          <w:iCs/>
        </w:rPr>
        <w:t>)</w:t>
      </w:r>
      <w:r w:rsidRPr="00465585">
        <w:rPr>
          <w:rFonts w:ascii="Courier New" w:hAnsi="Courier New" w:cs="Courier New"/>
          <w:i/>
          <w:iCs/>
        </w:rPr>
        <w:t>.</w:t>
      </w:r>
    </w:p>
    <w:p w:rsidR="00465585" w:rsidP="00465585" w14:paraId="25B0C36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Indo além, a</w:t>
      </w:r>
      <w:r w:rsidRPr="00465585">
        <w:rPr>
          <w:rFonts w:ascii="Courier New" w:hAnsi="Courier New" w:cs="Courier New"/>
        </w:rPr>
        <w:t xml:space="preserve"> jurisprudência confirma esta necessidade de equilíbrio. O </w:t>
      </w:r>
      <w:r w:rsidRPr="00465585">
        <w:rPr>
          <w:rFonts w:ascii="Courier New" w:hAnsi="Courier New" w:cs="Courier New"/>
          <w:b/>
          <w:bCs/>
        </w:rPr>
        <w:t>Supremo Tribunal Federal (STF)</w:t>
      </w:r>
      <w:r w:rsidRPr="00465585">
        <w:rPr>
          <w:rFonts w:ascii="Courier New" w:hAnsi="Courier New" w:cs="Courier New"/>
        </w:rPr>
        <w:t xml:space="preserve"> aplica o princípio da proporcionalidade como critério central para validar normas que restrinjam a livre iniciativa (ex: </w:t>
      </w:r>
      <w:r w:rsidRPr="00465585">
        <w:rPr>
          <w:rFonts w:ascii="Courier New" w:hAnsi="Courier New" w:cs="Courier New"/>
          <w:b/>
          <w:bCs/>
        </w:rPr>
        <w:t>ADI 1945</w:t>
      </w:r>
      <w:r w:rsidRPr="00465585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:</w:t>
      </w:r>
    </w:p>
    <w:p w:rsidR="00465585" w:rsidP="00465585" w14:paraId="77B00B3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465585" w:rsidRPr="003E5E0F" w:rsidP="00465585" w14:paraId="37AC5052" w14:textId="306BF519">
      <w:pPr>
        <w:pBdr>
          <w:left w:val="single" w:sz="4" w:space="4" w:color="auto"/>
          <w:right w:val="single" w:sz="4" w:space="4" w:color="auto"/>
        </w:pBdr>
        <w:ind w:left="2268"/>
        <w:jc w:val="both"/>
        <w:rPr>
          <w:rFonts w:ascii="Courier New" w:hAnsi="Courier New" w:cs="Courier New"/>
          <w:sz w:val="20"/>
          <w:szCs w:val="20"/>
        </w:rPr>
      </w:pPr>
      <w:r w:rsidRPr="00465585">
        <w:rPr>
          <w:rFonts w:ascii="Courier New" w:hAnsi="Courier New" w:cs="Courier New"/>
          <w:sz w:val="20"/>
          <w:szCs w:val="20"/>
        </w:rPr>
        <w:t xml:space="preserve">EMENTA Ação direta de inconstitucionalidade. Direito Tributário. Lei nº 7.098, de 30 de dezembro de 1998, do Estado de Mato Grosso. ICMS-comunicação. Atividades-meio. Não incidência. Critério para definição de margem de valor agregado. Necessidade de lei. Operações com programa de computador (software). Critério objetivo. Subitem 1.05 da lista anexa à LC nº 116/03. Incidência do ISS. Aquisição por meio físico ou por meio eletrônico (download, streaming </w:t>
      </w:r>
      <w:r w:rsidRPr="00465585">
        <w:rPr>
          <w:rFonts w:ascii="Courier New" w:hAnsi="Courier New" w:cs="Courier New"/>
          <w:sz w:val="20"/>
          <w:szCs w:val="20"/>
        </w:rPr>
        <w:t>etc</w:t>
      </w:r>
      <w:r w:rsidRPr="00465585">
        <w:rPr>
          <w:rFonts w:ascii="Courier New" w:hAnsi="Courier New" w:cs="Courier New"/>
          <w:sz w:val="20"/>
          <w:szCs w:val="20"/>
        </w:rPr>
        <w:t xml:space="preserve">). Distinção entre software sob encomenda e padronizado. Irrelevância. Contrato de licenciamento de uso de programas de computador. Relevância do trabalho humano desenvolvido. Contrato complexo ou híbrido. Dicotomia entre obrigação de dar e obrigação de fazer. Insuficiência. Modulação dos efeitos da decisão. 1. Consoante a jurisprudência da Corte, o ICMS-comunicação “apenas pode incidir sobre a atividade-fim, que é o serviço de comunicação, e não sobre a atividade-meio ou intermediária como são aquelas constantes na Cláusula Primeira do Convênio ICMS nº 69/98” (RE nº 570.020/DF, Tribunal Pleno, Rel. Min. Luiz Fux). 2. Os critérios para a fixação da margem de valor agregado para efeito de cálculo do ICMS em regime de substituição tributária progressiva devem ser disciplinados por lei estadual, em sentido formal e material, não sendo possível a delegação em branco dessa matéria a ato normativo infralegal, sob pena de ofensa ao princípio da legalidade tributária. 3. A tradicional distinção entre software de prateleira (padronizado) e por encomenda (personalizado) não é mais suficiente para a definição da competência para tributação </w:t>
      </w:r>
      <w:r w:rsidRPr="00465585">
        <w:rPr>
          <w:rFonts w:ascii="Courier New" w:hAnsi="Courier New" w:cs="Courier New"/>
          <w:sz w:val="20"/>
          <w:szCs w:val="20"/>
        </w:rPr>
        <w:t xml:space="preserve">dos negócios jurídicos que envolvam programas de computador em suas diversas modalidades. Diversos precedentes da Corte têm superado a velha dicotomia entre obrigação de fazer e obrigação de dar, notadamente nos contratos tidos por complexos. 4. O legislador complementar, amparado especialmente nos arts. 146, I, e 156, III, da Constituição Federal, buscou dirimir conflitos de competência em matéria tributária envolvendo softwares elencando, no subitem 1.05 da lista de serviços tributáveis pelo ISS anexa à LC nº 116/03, o licenciamento e a cessão de direito de uso de programas de computação. É certo, ademais, que, conforme a Lei nº 9.609/98, o uso de programa de computador no País é objeto de contrato de licença. 5. Associa-se a isso a noção de que software é produto do engenho humano, é criação intelectual. Ou seja, é imprescindível a existência de esforço humano direcionado para a construção de um programa de computador (obrigação de fazer), não podendo isso ser desconsiderado quando se trata de qualquer tipo de software. A obrigação de fazer também se encontra presente nos demais serviços prestados ao usuário, como, v.g., o help </w:t>
      </w:r>
      <w:r w:rsidRPr="00465585">
        <w:rPr>
          <w:rFonts w:ascii="Courier New" w:hAnsi="Courier New" w:cs="Courier New"/>
          <w:sz w:val="20"/>
          <w:szCs w:val="20"/>
        </w:rPr>
        <w:t>desk</w:t>
      </w:r>
      <w:r w:rsidRPr="00465585">
        <w:rPr>
          <w:rFonts w:ascii="Courier New" w:hAnsi="Courier New" w:cs="Courier New"/>
          <w:sz w:val="20"/>
          <w:szCs w:val="20"/>
        </w:rPr>
        <w:t xml:space="preserve"> e a disponibilização de manuais, atualizações e outras funcionalidades previstas no contrato de licenciamento. 6. Igualmente há prestação de serviço no modelo denominado software-</w:t>
      </w:r>
      <w:r w:rsidRPr="00465585">
        <w:rPr>
          <w:rFonts w:ascii="Courier New" w:hAnsi="Courier New" w:cs="Courier New"/>
          <w:sz w:val="20"/>
          <w:szCs w:val="20"/>
        </w:rPr>
        <w:t>asaService</w:t>
      </w:r>
      <w:r w:rsidRPr="00465585">
        <w:rPr>
          <w:rFonts w:ascii="Courier New" w:hAnsi="Courier New" w:cs="Courier New"/>
          <w:sz w:val="20"/>
          <w:szCs w:val="20"/>
        </w:rPr>
        <w:t xml:space="preserve"> (SaaS), o qual se caracteriza pelo acesso do consumidor a aplicativos disponibilizados pelo fornecedor na rede mundial de computadores, ou seja, o aplicativo utilizado pelo consumidor não é armazenado no disco rígido do computador do usuário, permanecendo online em tempo integral, daí por que se diz que o aplicativo está localizado na nuvem, circunstância atrativa da incidência do ISS. 7. Ação direta não conhecida no tocante aos arts. 2º, § 3º; 16, § 2º; e 22, parágrafo único, da Lei nº 7.098/98 do Estado de Mato Grosso; julgada prejudicada em relação ao art. 3º, § 3º, da mesma lei; e, no mérito, julgada parcialmente procedente, declarando-se a inconstitucionalidade (i) das expressões “adesão, acesso, disponibilização, ativação, habilitação, assinatura” e “ainda que preparatórios”, constantes do art. 2º, § 2º, I, da Lei nº 7.098/98, com a redação dada pela Lei nº 9.226/09; (ii) da expressão “observados os demais critérios determinados pelo regulamento”, presente no art. 13, § 4º, da Lei nº 7.098/98; (</w:t>
      </w:r>
      <w:r w:rsidRPr="00465585">
        <w:rPr>
          <w:rFonts w:ascii="Courier New" w:hAnsi="Courier New" w:cs="Courier New"/>
          <w:sz w:val="20"/>
          <w:szCs w:val="20"/>
        </w:rPr>
        <w:t>iii</w:t>
      </w:r>
      <w:r w:rsidRPr="00465585">
        <w:rPr>
          <w:rFonts w:ascii="Courier New" w:hAnsi="Courier New" w:cs="Courier New"/>
          <w:sz w:val="20"/>
          <w:szCs w:val="20"/>
        </w:rPr>
        <w:t>) dos arts. 2º, § 1º, VI; e 6º, § 6º, da mesma lei. 8. Modulam-se os efeitos da decisão nos termos da ata do julgamento.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65585">
        <w:rPr>
          <w:rFonts w:ascii="Courier New" w:hAnsi="Courier New" w:cs="Courier New"/>
          <w:sz w:val="20"/>
          <w:szCs w:val="20"/>
        </w:rPr>
        <w:t>(</w:t>
      </w:r>
      <w:r w:rsidRPr="00465585">
        <w:rPr>
          <w:rFonts w:ascii="Courier New" w:hAnsi="Courier New" w:cs="Courier New"/>
          <w:b/>
          <w:bCs/>
          <w:sz w:val="20"/>
          <w:szCs w:val="20"/>
        </w:rPr>
        <w:t>STF</w:t>
      </w:r>
      <w:r w:rsidRPr="00465585">
        <w:rPr>
          <w:rFonts w:ascii="Courier New" w:hAnsi="Courier New" w:cs="Courier New"/>
          <w:sz w:val="20"/>
          <w:szCs w:val="20"/>
        </w:rPr>
        <w:t xml:space="preserve"> - ADI: 1945 MT, Relator: </w:t>
      </w:r>
      <w:r w:rsidRPr="00465585">
        <w:rPr>
          <w:rFonts w:ascii="Courier New" w:hAnsi="Courier New" w:cs="Courier New"/>
          <w:sz w:val="20"/>
          <w:szCs w:val="20"/>
        </w:rPr>
        <w:t>CÁRMEN</w:t>
      </w:r>
      <w:r w:rsidRPr="00465585">
        <w:rPr>
          <w:rFonts w:ascii="Courier New" w:hAnsi="Courier New" w:cs="Courier New"/>
          <w:sz w:val="20"/>
          <w:szCs w:val="20"/>
        </w:rPr>
        <w:t xml:space="preserve"> LÚCIA, Data de Julgamento: 24/02/2021, Tribunal Pleno, Data de Publicação: 20/05/2021)</w:t>
      </w:r>
    </w:p>
    <w:p w:rsidR="00465585" w:rsidP="00465585" w14:paraId="68922AEF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</w:p>
    <w:p w:rsidR="00465585" w:rsidP="00465585" w14:paraId="633E2533" w14:textId="61F182C6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Então,</w:t>
      </w:r>
      <w:r w:rsidRPr="00465585">
        <w:rPr>
          <w:rFonts w:ascii="Courier New" w:hAnsi="Courier New" w:cs="Courier New"/>
        </w:rPr>
        <w:t xml:space="preserve"> a medida atende ao </w:t>
      </w:r>
      <w:r w:rsidRPr="00465585">
        <w:rPr>
          <w:rFonts w:ascii="Courier New" w:hAnsi="Courier New" w:cs="Courier New"/>
          <w:b/>
          <w:bCs/>
        </w:rPr>
        <w:t>Princípio da Eficiência</w:t>
      </w:r>
      <w:r w:rsidRPr="00465585">
        <w:rPr>
          <w:rFonts w:ascii="Courier New" w:hAnsi="Courier New" w:cs="Courier New"/>
        </w:rPr>
        <w:t xml:space="preserve"> e ao </w:t>
      </w:r>
      <w:r w:rsidRPr="00465585">
        <w:rPr>
          <w:rFonts w:ascii="Courier New" w:hAnsi="Courier New" w:cs="Courier New"/>
          <w:b/>
          <w:bCs/>
        </w:rPr>
        <w:t>Princípio da Supremacia do Interesse Público</w:t>
      </w:r>
      <w:r w:rsidRPr="00465585">
        <w:rPr>
          <w:rFonts w:ascii="Courier New" w:hAnsi="Courier New" w:cs="Courier New"/>
        </w:rPr>
        <w:t xml:space="preserve">, uma vez que substitui a rigidez de uma "exigência" — passível de judicialização e suspensão por violação ao </w:t>
      </w:r>
      <w:r w:rsidRPr="00465585">
        <w:rPr>
          <w:rFonts w:ascii="Courier New" w:hAnsi="Courier New" w:cs="Courier New"/>
          <w:b/>
          <w:bCs/>
        </w:rPr>
        <w:t>Princípio da Legalidade</w:t>
      </w:r>
      <w:r w:rsidRPr="00465585">
        <w:rPr>
          <w:rFonts w:ascii="Courier New" w:hAnsi="Courier New" w:cs="Courier New"/>
        </w:rPr>
        <w:t xml:space="preserve"> — pela agilidade da "possibilidade" negocial.</w:t>
      </w:r>
    </w:p>
    <w:p w:rsidR="00465585" w:rsidP="00465585" w14:paraId="622609E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</w:rPr>
        <w:t xml:space="preserve">Esta estrutura técnica previne o nascimento de lides temerárias e assegura a higidez jurídica da norma, permitindo que a cooperação </w:t>
      </w:r>
      <w:r w:rsidRPr="00465585">
        <w:rPr>
          <w:rFonts w:ascii="Courier New" w:hAnsi="Courier New" w:cs="Courier New"/>
          <w:i/>
          <w:iCs/>
        </w:rPr>
        <w:t xml:space="preserve">pro </w:t>
      </w:r>
      <w:r w:rsidRPr="00465585">
        <w:rPr>
          <w:rFonts w:ascii="Courier New" w:hAnsi="Courier New" w:cs="Courier New"/>
          <w:i/>
          <w:iCs/>
        </w:rPr>
        <w:t>bono</w:t>
      </w:r>
      <w:r w:rsidRPr="00465585">
        <w:rPr>
          <w:rFonts w:ascii="Courier New" w:hAnsi="Courier New" w:cs="Courier New"/>
          <w:i/>
          <w:iCs/>
        </w:rPr>
        <w:t xml:space="preserve"> </w:t>
      </w:r>
      <w:r w:rsidRPr="00465585">
        <w:rPr>
          <w:rFonts w:ascii="Courier New" w:hAnsi="Courier New" w:cs="Courier New"/>
          <w:i/>
          <w:iCs/>
        </w:rPr>
        <w:t>publico</w:t>
      </w:r>
      <w:r w:rsidRPr="00465585">
        <w:rPr>
          <w:rFonts w:ascii="Courier New" w:hAnsi="Courier New" w:cs="Courier New"/>
        </w:rPr>
        <w:t xml:space="preserve"> se materialize de forma sustentável e imune a questionamentos nos tribunais.</w:t>
      </w:r>
    </w:p>
    <w:p w:rsidR="00C45FB2" w:rsidRPr="00465585" w:rsidP="00465585" w14:paraId="54E22C0D" w14:textId="5D1CED1E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</w:rPr>
        <w:t xml:space="preserve">O </w:t>
      </w:r>
      <w:r w:rsidRPr="00465585">
        <w:rPr>
          <w:rFonts w:ascii="Courier New" w:hAnsi="Courier New" w:cs="Courier New"/>
          <w:b/>
          <w:bCs/>
        </w:rPr>
        <w:t>Superior Tribunal de Justiça (STJ)</w:t>
      </w:r>
      <w:r w:rsidRPr="00465585">
        <w:rPr>
          <w:rFonts w:ascii="Courier New" w:hAnsi="Courier New" w:cs="Courier New"/>
        </w:rPr>
        <w:t>, ao analisar convênios, valoriza a vontade das partes, entendendo que as obrigações devem derivar do que foi acordado (</w:t>
      </w:r>
      <w:r w:rsidRPr="00465585">
        <w:rPr>
          <w:rFonts w:ascii="Courier New" w:hAnsi="Courier New" w:cs="Courier New"/>
          <w:b/>
          <w:bCs/>
        </w:rPr>
        <w:t>STJ</w:t>
      </w:r>
      <w:r w:rsidRPr="00465585">
        <w:rPr>
          <w:rFonts w:ascii="Courier New" w:hAnsi="Courier New" w:cs="Courier New"/>
        </w:rPr>
        <w:t xml:space="preserve"> - REsp: 1798529 SP 2019/0049348-1, Relator: Ministro MAURO CAMPBELL MARQUES, Data de Publicação: DJ 14/03/2019)</w:t>
      </w:r>
      <w:r>
        <w:rPr>
          <w:rFonts w:ascii="Courier New" w:hAnsi="Courier New" w:cs="Courier New"/>
        </w:rPr>
        <w:t>.</w:t>
      </w:r>
    </w:p>
    <w:p w:rsidR="00465585" w:rsidP="00C45FB2" w14:paraId="04270356" w14:textId="4D4D9A81">
      <w:pPr>
        <w:spacing w:before="120" w:after="120" w:line="360" w:lineRule="auto"/>
        <w:ind w:firstLine="567"/>
        <w:jc w:val="both"/>
        <w:rPr>
          <w:rFonts w:ascii="Courier New" w:hAnsi="Courier New" w:cs="Courier New"/>
        </w:rPr>
      </w:pPr>
      <w:r w:rsidRPr="00465585">
        <w:rPr>
          <w:rFonts w:ascii="Courier New" w:hAnsi="Courier New" w:cs="Courier New"/>
        </w:rPr>
        <w:t xml:space="preserve">A proposta encerra, assim, um ciclo de proteção aos direitos fundamentais e de promoção do desenvolvimento social, alicerçada na </w:t>
      </w:r>
      <w:r w:rsidRPr="00465585">
        <w:rPr>
          <w:rFonts w:ascii="Courier New" w:hAnsi="Courier New" w:cs="Courier New"/>
          <w:b/>
          <w:bCs/>
        </w:rPr>
        <w:t>Princípio da Moralidade</w:t>
      </w:r>
      <w:r w:rsidRPr="00465585">
        <w:rPr>
          <w:rFonts w:ascii="Courier New" w:hAnsi="Courier New" w:cs="Courier New"/>
        </w:rPr>
        <w:t xml:space="preserve"> e na busca incessante pela justiça distributiva no plano local.</w:t>
      </w:r>
    </w:p>
    <w:sectPr w:rsidSect="006F4BC5">
      <w:headerReference w:type="default" r:id="rId6"/>
      <w:footerReference w:type="default" r:id="rId7"/>
      <w:pgSz w:w="11906" w:h="16838"/>
      <w:pgMar w:top="1985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90942106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ourier New" w:hAnsi="Courier New" w:cs="Courier New"/>
            <w:sz w:val="20"/>
            <w:szCs w:val="20"/>
          </w:rPr>
        </w:sdtEndPr>
        <w:sdtContent>
          <w:p w:rsidR="000E3FEE" w:rsidRPr="000E3FEE" w14:paraId="1FE158F6" w14:textId="209C1FAB">
            <w:pPr>
              <w:pStyle w:val="Footer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Página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PAGE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0E3FEE">
              <w:rPr>
                <w:rFonts w:ascii="Courier New" w:hAnsi="Courier New" w:cs="Courier New"/>
                <w:sz w:val="20"/>
                <w:szCs w:val="20"/>
              </w:rPr>
              <w:t xml:space="preserve"> de 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>NUMPAGES</w:instrTex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r w:rsidRPr="000E3FEE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E3FEE" w:rsidP="000E3FEE" w14:paraId="7680C515" w14:textId="77777777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Rua Dr. Jose Alves, nº 129, centro, Mogi Mirim/SP</w:t>
    </w:r>
  </w:p>
  <w:p w:rsidR="000E3FEE" w:rsidRPr="007256BA" w:rsidP="000E3FEE" w14:paraId="04315374" w14:textId="0110A46E">
    <w:pPr>
      <w:pStyle w:val="Footer"/>
      <w:tabs>
        <w:tab w:val="clear" w:pos="4252"/>
        <w:tab w:val="clear" w:pos="8504"/>
      </w:tabs>
      <w:rPr>
        <w:rFonts w:ascii="Courier New" w:hAnsi="Courier New" w:cs="Courier New"/>
        <w:sz w:val="18"/>
        <w:szCs w:val="18"/>
      </w:rPr>
    </w:pPr>
    <w:r w:rsidRPr="007256BA">
      <w:rPr>
        <w:rFonts w:ascii="Courier New" w:hAnsi="Courier New" w:cs="Courier New"/>
        <w:sz w:val="18"/>
        <w:szCs w:val="18"/>
      </w:rPr>
      <w:t>Fone (019) 3814.1200 – Fax: (019) 3814.1224.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RPr="007256BA" w:rsidP="006F4BC5" w14:paraId="6ABFBAB7" w14:textId="5F87F895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-171450</wp:posOffset>
          </wp:positionV>
          <wp:extent cx="1036320" cy="754380"/>
          <wp:effectExtent l="0" t="0" r="0" b="762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57381F" w:rsidRPr="0057381F" w:rsidP="006F4BC5" w14:paraId="474ADD54" w14:textId="6F192889">
    <w:pPr>
      <w:pStyle w:val="Header"/>
      <w:tabs>
        <w:tab w:val="clear" w:pos="4252"/>
        <w:tab w:val="clear" w:pos="8504"/>
      </w:tabs>
      <w:ind w:left="1276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4B68"/>
    <w:multiLevelType w:val="hybridMultilevel"/>
    <w:tmpl w:val="FF90CCC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A4E26"/>
    <w:multiLevelType w:val="hybridMultilevel"/>
    <w:tmpl w:val="BF2E00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CF91B4B"/>
    <w:multiLevelType w:val="multilevel"/>
    <w:tmpl w:val="73BA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23238"/>
    <w:multiLevelType w:val="multilevel"/>
    <w:tmpl w:val="8AB4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7B4A34"/>
    <w:multiLevelType w:val="hybridMultilevel"/>
    <w:tmpl w:val="FC0E5C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EA605F"/>
    <w:multiLevelType w:val="multilevel"/>
    <w:tmpl w:val="F41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055EA1"/>
    <w:multiLevelType w:val="hybridMultilevel"/>
    <w:tmpl w:val="0406AD9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22B0BF6"/>
    <w:multiLevelType w:val="multilevel"/>
    <w:tmpl w:val="254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D743B"/>
    <w:multiLevelType w:val="multilevel"/>
    <w:tmpl w:val="8D6E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2FFF"/>
    <w:rsid w:val="00004C95"/>
    <w:rsid w:val="00023049"/>
    <w:rsid w:val="00031283"/>
    <w:rsid w:val="000421FA"/>
    <w:rsid w:val="000703D1"/>
    <w:rsid w:val="00090835"/>
    <w:rsid w:val="000A07E1"/>
    <w:rsid w:val="000A70D0"/>
    <w:rsid w:val="000B231B"/>
    <w:rsid w:val="000C21DC"/>
    <w:rsid w:val="000C4F9D"/>
    <w:rsid w:val="000D3816"/>
    <w:rsid w:val="000E19EC"/>
    <w:rsid w:val="000E2239"/>
    <w:rsid w:val="000E3FEE"/>
    <w:rsid w:val="00100381"/>
    <w:rsid w:val="00105967"/>
    <w:rsid w:val="0011792B"/>
    <w:rsid w:val="00120BB5"/>
    <w:rsid w:val="00133C27"/>
    <w:rsid w:val="00152F64"/>
    <w:rsid w:val="001536DE"/>
    <w:rsid w:val="00157C20"/>
    <w:rsid w:val="001915A3"/>
    <w:rsid w:val="001A2496"/>
    <w:rsid w:val="001A2AB0"/>
    <w:rsid w:val="001A73C9"/>
    <w:rsid w:val="001A73F6"/>
    <w:rsid w:val="001B334F"/>
    <w:rsid w:val="001B5DF1"/>
    <w:rsid w:val="001C2EDB"/>
    <w:rsid w:val="001D5D07"/>
    <w:rsid w:val="001E7598"/>
    <w:rsid w:val="001F178F"/>
    <w:rsid w:val="001F73D7"/>
    <w:rsid w:val="00200886"/>
    <w:rsid w:val="00214126"/>
    <w:rsid w:val="002167D0"/>
    <w:rsid w:val="00217F62"/>
    <w:rsid w:val="00220FF3"/>
    <w:rsid w:val="00221A63"/>
    <w:rsid w:val="00244940"/>
    <w:rsid w:val="0025004F"/>
    <w:rsid w:val="00251F14"/>
    <w:rsid w:val="0025595B"/>
    <w:rsid w:val="002575B7"/>
    <w:rsid w:val="00265037"/>
    <w:rsid w:val="00266484"/>
    <w:rsid w:val="002800AF"/>
    <w:rsid w:val="00287BFE"/>
    <w:rsid w:val="002B4B31"/>
    <w:rsid w:val="002D2685"/>
    <w:rsid w:val="002D3B35"/>
    <w:rsid w:val="002F23A7"/>
    <w:rsid w:val="002F2E8D"/>
    <w:rsid w:val="002F3DFE"/>
    <w:rsid w:val="002F4F02"/>
    <w:rsid w:val="00301359"/>
    <w:rsid w:val="0030701D"/>
    <w:rsid w:val="003074DC"/>
    <w:rsid w:val="00323CA8"/>
    <w:rsid w:val="003370C3"/>
    <w:rsid w:val="00352BBA"/>
    <w:rsid w:val="0037287D"/>
    <w:rsid w:val="00382C5B"/>
    <w:rsid w:val="003A0FD7"/>
    <w:rsid w:val="003A19CC"/>
    <w:rsid w:val="003A484B"/>
    <w:rsid w:val="003D47DC"/>
    <w:rsid w:val="003D4A8E"/>
    <w:rsid w:val="003D51AC"/>
    <w:rsid w:val="003E04B5"/>
    <w:rsid w:val="003E5E0F"/>
    <w:rsid w:val="003F2FA4"/>
    <w:rsid w:val="003F6F42"/>
    <w:rsid w:val="003F7CC3"/>
    <w:rsid w:val="00405859"/>
    <w:rsid w:val="004146F8"/>
    <w:rsid w:val="00415159"/>
    <w:rsid w:val="00424CF2"/>
    <w:rsid w:val="0042728E"/>
    <w:rsid w:val="00430D0C"/>
    <w:rsid w:val="00441401"/>
    <w:rsid w:val="00446C02"/>
    <w:rsid w:val="00446FED"/>
    <w:rsid w:val="004513CB"/>
    <w:rsid w:val="004610B1"/>
    <w:rsid w:val="00465585"/>
    <w:rsid w:val="00465D8F"/>
    <w:rsid w:val="00473091"/>
    <w:rsid w:val="00482EA4"/>
    <w:rsid w:val="00487E4F"/>
    <w:rsid w:val="00496629"/>
    <w:rsid w:val="004A3FBC"/>
    <w:rsid w:val="004A5220"/>
    <w:rsid w:val="004B027A"/>
    <w:rsid w:val="004C3D72"/>
    <w:rsid w:val="004C716F"/>
    <w:rsid w:val="004D1B0C"/>
    <w:rsid w:val="004F1F2F"/>
    <w:rsid w:val="00504C91"/>
    <w:rsid w:val="00516E4A"/>
    <w:rsid w:val="005276DC"/>
    <w:rsid w:val="00567B59"/>
    <w:rsid w:val="0057381F"/>
    <w:rsid w:val="00594AEB"/>
    <w:rsid w:val="00595899"/>
    <w:rsid w:val="00596358"/>
    <w:rsid w:val="005A29C0"/>
    <w:rsid w:val="005A66EE"/>
    <w:rsid w:val="005A7A11"/>
    <w:rsid w:val="005C15F8"/>
    <w:rsid w:val="005C4E40"/>
    <w:rsid w:val="005C7EA4"/>
    <w:rsid w:val="005D3F61"/>
    <w:rsid w:val="005E6E2D"/>
    <w:rsid w:val="005F47CF"/>
    <w:rsid w:val="00604E8B"/>
    <w:rsid w:val="006057BE"/>
    <w:rsid w:val="00617D7D"/>
    <w:rsid w:val="00621133"/>
    <w:rsid w:val="00632DF6"/>
    <w:rsid w:val="00640213"/>
    <w:rsid w:val="00650210"/>
    <w:rsid w:val="006527A9"/>
    <w:rsid w:val="00654C95"/>
    <w:rsid w:val="006622E5"/>
    <w:rsid w:val="00663F95"/>
    <w:rsid w:val="006717AD"/>
    <w:rsid w:val="00672640"/>
    <w:rsid w:val="00681FD9"/>
    <w:rsid w:val="006907CC"/>
    <w:rsid w:val="006A4085"/>
    <w:rsid w:val="006A7F69"/>
    <w:rsid w:val="006B67D9"/>
    <w:rsid w:val="006B79C1"/>
    <w:rsid w:val="006D1C8B"/>
    <w:rsid w:val="006E0D88"/>
    <w:rsid w:val="006E30EE"/>
    <w:rsid w:val="006F4BC5"/>
    <w:rsid w:val="006F6186"/>
    <w:rsid w:val="007055A6"/>
    <w:rsid w:val="007120E5"/>
    <w:rsid w:val="00721F76"/>
    <w:rsid w:val="007256BA"/>
    <w:rsid w:val="007809AF"/>
    <w:rsid w:val="00793383"/>
    <w:rsid w:val="007A4112"/>
    <w:rsid w:val="007B6A5F"/>
    <w:rsid w:val="007C10C3"/>
    <w:rsid w:val="007C1937"/>
    <w:rsid w:val="007D4A00"/>
    <w:rsid w:val="007F452D"/>
    <w:rsid w:val="007F58FD"/>
    <w:rsid w:val="007F67D4"/>
    <w:rsid w:val="008079A0"/>
    <w:rsid w:val="00822C2F"/>
    <w:rsid w:val="00825C83"/>
    <w:rsid w:val="00833EAC"/>
    <w:rsid w:val="008403EA"/>
    <w:rsid w:val="00857231"/>
    <w:rsid w:val="00865283"/>
    <w:rsid w:val="00865FD2"/>
    <w:rsid w:val="008714B3"/>
    <w:rsid w:val="00875D97"/>
    <w:rsid w:val="008867EC"/>
    <w:rsid w:val="00890664"/>
    <w:rsid w:val="00894201"/>
    <w:rsid w:val="0089485B"/>
    <w:rsid w:val="00896562"/>
    <w:rsid w:val="008A216E"/>
    <w:rsid w:val="008A6999"/>
    <w:rsid w:val="008B362B"/>
    <w:rsid w:val="008B3AC0"/>
    <w:rsid w:val="008B6F44"/>
    <w:rsid w:val="008C0131"/>
    <w:rsid w:val="008D44CE"/>
    <w:rsid w:val="008E0D7F"/>
    <w:rsid w:val="008E144E"/>
    <w:rsid w:val="008E64D0"/>
    <w:rsid w:val="008F20CC"/>
    <w:rsid w:val="009003F2"/>
    <w:rsid w:val="00905C46"/>
    <w:rsid w:val="00920C58"/>
    <w:rsid w:val="00926AE9"/>
    <w:rsid w:val="00930895"/>
    <w:rsid w:val="0096605B"/>
    <w:rsid w:val="00975B6A"/>
    <w:rsid w:val="00975EAD"/>
    <w:rsid w:val="009825E2"/>
    <w:rsid w:val="00982996"/>
    <w:rsid w:val="00996BD3"/>
    <w:rsid w:val="009A0EF9"/>
    <w:rsid w:val="009A3DEB"/>
    <w:rsid w:val="009A65E0"/>
    <w:rsid w:val="009B255B"/>
    <w:rsid w:val="009B2D4F"/>
    <w:rsid w:val="009D30B3"/>
    <w:rsid w:val="009D469E"/>
    <w:rsid w:val="009D5B0A"/>
    <w:rsid w:val="009E32BE"/>
    <w:rsid w:val="009E395E"/>
    <w:rsid w:val="009F102D"/>
    <w:rsid w:val="009F1131"/>
    <w:rsid w:val="009F1253"/>
    <w:rsid w:val="009F2951"/>
    <w:rsid w:val="00A106A0"/>
    <w:rsid w:val="00A10812"/>
    <w:rsid w:val="00A25264"/>
    <w:rsid w:val="00A259AA"/>
    <w:rsid w:val="00A33B5B"/>
    <w:rsid w:val="00A35653"/>
    <w:rsid w:val="00A56A8E"/>
    <w:rsid w:val="00A60081"/>
    <w:rsid w:val="00A67537"/>
    <w:rsid w:val="00A70CD9"/>
    <w:rsid w:val="00A906D8"/>
    <w:rsid w:val="00A92995"/>
    <w:rsid w:val="00A943C5"/>
    <w:rsid w:val="00A96F90"/>
    <w:rsid w:val="00AA448D"/>
    <w:rsid w:val="00AB5A74"/>
    <w:rsid w:val="00AB7855"/>
    <w:rsid w:val="00AC4924"/>
    <w:rsid w:val="00AD7B6B"/>
    <w:rsid w:val="00B04D1C"/>
    <w:rsid w:val="00B11892"/>
    <w:rsid w:val="00B318DF"/>
    <w:rsid w:val="00B360BC"/>
    <w:rsid w:val="00B416D2"/>
    <w:rsid w:val="00B4504C"/>
    <w:rsid w:val="00B54594"/>
    <w:rsid w:val="00B74677"/>
    <w:rsid w:val="00B80608"/>
    <w:rsid w:val="00B86888"/>
    <w:rsid w:val="00B878A6"/>
    <w:rsid w:val="00B939E9"/>
    <w:rsid w:val="00B93F19"/>
    <w:rsid w:val="00BA4DF6"/>
    <w:rsid w:val="00BA52AC"/>
    <w:rsid w:val="00BB46F9"/>
    <w:rsid w:val="00BC06BF"/>
    <w:rsid w:val="00BC65F7"/>
    <w:rsid w:val="00BF43D6"/>
    <w:rsid w:val="00BF53DF"/>
    <w:rsid w:val="00BF574A"/>
    <w:rsid w:val="00C04B4D"/>
    <w:rsid w:val="00C061CE"/>
    <w:rsid w:val="00C14B17"/>
    <w:rsid w:val="00C315C8"/>
    <w:rsid w:val="00C335F4"/>
    <w:rsid w:val="00C36C4A"/>
    <w:rsid w:val="00C40DE6"/>
    <w:rsid w:val="00C41719"/>
    <w:rsid w:val="00C45FB2"/>
    <w:rsid w:val="00C4695C"/>
    <w:rsid w:val="00C51134"/>
    <w:rsid w:val="00C5142B"/>
    <w:rsid w:val="00C67FDB"/>
    <w:rsid w:val="00C86865"/>
    <w:rsid w:val="00C871FD"/>
    <w:rsid w:val="00C9070D"/>
    <w:rsid w:val="00C969C4"/>
    <w:rsid w:val="00CB657A"/>
    <w:rsid w:val="00CC22BD"/>
    <w:rsid w:val="00CF4808"/>
    <w:rsid w:val="00D076A2"/>
    <w:rsid w:val="00D20622"/>
    <w:rsid w:val="00D239D1"/>
    <w:rsid w:val="00D23D6A"/>
    <w:rsid w:val="00D311C9"/>
    <w:rsid w:val="00D37305"/>
    <w:rsid w:val="00D640B7"/>
    <w:rsid w:val="00D64480"/>
    <w:rsid w:val="00D71CA5"/>
    <w:rsid w:val="00D734BC"/>
    <w:rsid w:val="00D76178"/>
    <w:rsid w:val="00D95E97"/>
    <w:rsid w:val="00DA0F30"/>
    <w:rsid w:val="00DB1B02"/>
    <w:rsid w:val="00DC43EB"/>
    <w:rsid w:val="00DC5E39"/>
    <w:rsid w:val="00DD0D61"/>
    <w:rsid w:val="00DE1A1C"/>
    <w:rsid w:val="00DE727D"/>
    <w:rsid w:val="00E01A5F"/>
    <w:rsid w:val="00E17FF1"/>
    <w:rsid w:val="00E2690C"/>
    <w:rsid w:val="00E304D4"/>
    <w:rsid w:val="00E34A76"/>
    <w:rsid w:val="00E37842"/>
    <w:rsid w:val="00E442BE"/>
    <w:rsid w:val="00E45881"/>
    <w:rsid w:val="00E506B1"/>
    <w:rsid w:val="00E54057"/>
    <w:rsid w:val="00E656DC"/>
    <w:rsid w:val="00E65E22"/>
    <w:rsid w:val="00E836C7"/>
    <w:rsid w:val="00E90EE1"/>
    <w:rsid w:val="00EA3985"/>
    <w:rsid w:val="00EA3A02"/>
    <w:rsid w:val="00EA578E"/>
    <w:rsid w:val="00EB78EB"/>
    <w:rsid w:val="00EC23F4"/>
    <w:rsid w:val="00ED0A64"/>
    <w:rsid w:val="00ED10CA"/>
    <w:rsid w:val="00ED2039"/>
    <w:rsid w:val="00ED700C"/>
    <w:rsid w:val="00EE533B"/>
    <w:rsid w:val="00EF1478"/>
    <w:rsid w:val="00F071AE"/>
    <w:rsid w:val="00F13CBC"/>
    <w:rsid w:val="00F621DE"/>
    <w:rsid w:val="00F62626"/>
    <w:rsid w:val="00F73A3D"/>
    <w:rsid w:val="00F80818"/>
    <w:rsid w:val="00F81241"/>
    <w:rsid w:val="00F86552"/>
    <w:rsid w:val="00F87122"/>
    <w:rsid w:val="00F95540"/>
    <w:rsid w:val="00FA140D"/>
    <w:rsid w:val="00FA680C"/>
    <w:rsid w:val="00FA6F3A"/>
    <w:rsid w:val="00FB0DF0"/>
    <w:rsid w:val="00FB2122"/>
    <w:rsid w:val="00FB445C"/>
    <w:rsid w:val="00FD1905"/>
    <w:rsid w:val="00FD1CF7"/>
    <w:rsid w:val="00FD3DDE"/>
    <w:rsid w:val="00FD6348"/>
    <w:rsid w:val="00FD7C70"/>
    <w:rsid w:val="00FE7462"/>
    <w:rsid w:val="00FF1068"/>
    <w:rsid w:val="00FF1AC5"/>
    <w:rsid w:val="00FF2210"/>
    <w:rsid w:val="00FF2D88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C27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CorpodetextoChar"/>
    <w:rsid w:val="00F87122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F871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67F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D4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-250">
    <w:name w:val="citation-250"/>
    <w:basedOn w:val="DefaultParagraphFont"/>
    <w:rsid w:val="009B2D4F"/>
  </w:style>
  <w:style w:type="character" w:customStyle="1" w:styleId="citation-249">
    <w:name w:val="citation-249"/>
    <w:basedOn w:val="DefaultParagraphFont"/>
    <w:rsid w:val="009B2D4F"/>
  </w:style>
  <w:style w:type="character" w:customStyle="1" w:styleId="citation-248">
    <w:name w:val="citation-248"/>
    <w:basedOn w:val="DefaultParagraphFont"/>
    <w:rsid w:val="009B2D4F"/>
  </w:style>
  <w:style w:type="character" w:customStyle="1" w:styleId="citation-247">
    <w:name w:val="citation-247"/>
    <w:basedOn w:val="DefaultParagraphFont"/>
    <w:rsid w:val="009B2D4F"/>
  </w:style>
  <w:style w:type="character" w:styleId="Hyperlink">
    <w:name w:val="Hyperlink"/>
    <w:basedOn w:val="DefaultParagraphFont"/>
    <w:uiPriority w:val="99"/>
    <w:unhideWhenUsed/>
    <w:rsid w:val="00905C4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5C46"/>
    <w:rPr>
      <w:color w:val="605E5C"/>
      <w:shd w:val="clear" w:color="auto" w:fill="E1DFDD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074DC"/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074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4A6-1A11-4959-BA46-11305C5D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5</Pages>
  <Words>1394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Eric Cavaca</cp:lastModifiedBy>
  <cp:revision>130</cp:revision>
  <cp:lastPrinted>2026-04-13T11:50:29Z</cp:lastPrinted>
  <dcterms:created xsi:type="dcterms:W3CDTF">2025-03-11T18:20:00Z</dcterms:created>
  <dcterms:modified xsi:type="dcterms:W3CDTF">2026-04-13T00:12:00Z</dcterms:modified>
</cp:coreProperties>
</file>