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C06BF" w:rsidRPr="00F621DE" w:rsidP="00BC06BF" w14:paraId="131AA038" w14:textId="77777777">
      <w:pPr>
        <w:overflowPunct w:val="0"/>
        <w:autoSpaceDN w:val="0"/>
        <w:spacing w:before="120" w:after="120" w:line="276" w:lineRule="auto"/>
        <w:jc w:val="center"/>
        <w:rPr>
          <w:rFonts w:ascii="Courier New" w:hAnsi="Courier New" w:cs="Courier New"/>
          <w:b/>
          <w:bCs/>
          <w:kern w:val="3"/>
          <w:sz w:val="24"/>
          <w:szCs w:val="24"/>
          <w:u w:val="single"/>
        </w:rPr>
      </w:pPr>
      <w:r w:rsidRPr="00F621DE">
        <w:rPr>
          <w:rFonts w:ascii="Courier New" w:hAnsi="Courier New" w:cs="Courier New"/>
          <w:b/>
          <w:bCs/>
          <w:kern w:val="3"/>
          <w:sz w:val="24"/>
          <w:szCs w:val="24"/>
          <w:u w:val="single"/>
        </w:rPr>
        <w:t>Emenda Nº 2 ao Projeto de Lei Nº 12/2026</w:t>
      </w:r>
      <w:r w:rsidRPr="00F621DE">
        <w:rPr>
          <w:rFonts w:ascii="Courier New" w:hAnsi="Courier New" w:cs="Courier New"/>
          <w:b/>
          <w:bCs/>
          <w:kern w:val="3"/>
          <w:sz w:val="24"/>
          <w:szCs w:val="24"/>
          <w:u w:val="single"/>
        </w:rPr>
        <w:t>Emenda Nº 2 ao Projeto de Lei Nº 12/2026</w:t>
      </w:r>
    </w:p>
    <w:p w:rsidR="00BC06BF" w:rsidP="00BC06BF" w14:paraId="7F812FF3" w14:textId="77777777">
      <w:pPr>
        <w:overflowPunct w:val="0"/>
        <w:autoSpaceDN w:val="0"/>
        <w:spacing w:before="120" w:after="120" w:line="276" w:lineRule="auto"/>
        <w:jc w:val="both"/>
        <w:rPr>
          <w:rFonts w:ascii="Courier New" w:hAnsi="Courier New" w:cs="Courier New"/>
          <w:kern w:val="3"/>
        </w:rPr>
      </w:pPr>
    </w:p>
    <w:p w:rsidR="00C315C8" w:rsidRPr="006A4085" w:rsidP="00BC06BF" w14:paraId="3EB0865C" w14:textId="77777777">
      <w:pPr>
        <w:overflowPunct w:val="0"/>
        <w:autoSpaceDN w:val="0"/>
        <w:spacing w:before="120" w:after="120" w:line="276" w:lineRule="auto"/>
        <w:jc w:val="both"/>
        <w:rPr>
          <w:rFonts w:ascii="Courier New" w:hAnsi="Courier New" w:cs="Courier New"/>
          <w:kern w:val="3"/>
        </w:rPr>
      </w:pPr>
    </w:p>
    <w:p w:rsidR="00C315C8" w:rsidRPr="00C315C8" w:rsidP="00C315C8" w14:paraId="66BA40BA" w14:textId="6C245887">
      <w:pPr>
        <w:overflowPunct w:val="0"/>
        <w:autoSpaceDN w:val="0"/>
        <w:spacing w:before="120" w:after="120" w:line="276" w:lineRule="auto"/>
        <w:jc w:val="right"/>
        <w:rPr>
          <w:rFonts w:ascii="Courier New" w:hAnsi="Courier New" w:cs="Courier New"/>
          <w:i/>
          <w:iCs/>
          <w:kern w:val="3"/>
        </w:rPr>
      </w:pPr>
      <w:r>
        <w:rPr>
          <w:rFonts w:ascii="Courier New" w:hAnsi="Courier New" w:cs="Courier New"/>
          <w:i/>
          <w:iCs/>
          <w:kern w:val="3"/>
        </w:rPr>
        <w:t>(</w:t>
      </w:r>
      <w:r w:rsidRPr="00C315C8">
        <w:rPr>
          <w:rFonts w:ascii="Courier New" w:hAnsi="Courier New" w:cs="Courier New"/>
          <w:i/>
          <w:iCs/>
          <w:kern w:val="3"/>
        </w:rPr>
        <w:t>EMENDA MODIFICATIVA AO PROJETO DE LEI Nº 12/2026</w:t>
      </w:r>
      <w:r>
        <w:rPr>
          <w:rFonts w:ascii="Courier New" w:hAnsi="Courier New" w:cs="Courier New"/>
          <w:i/>
          <w:iCs/>
          <w:kern w:val="3"/>
        </w:rPr>
        <w:t>)</w:t>
      </w:r>
    </w:p>
    <w:p w:rsidR="00BC06BF" w:rsidRPr="006A4085" w:rsidP="00BC06BF" w14:paraId="1A19728B" w14:textId="12521177">
      <w:pPr>
        <w:overflowPunct w:val="0"/>
        <w:autoSpaceDN w:val="0"/>
        <w:spacing w:before="120" w:after="120" w:line="276" w:lineRule="auto"/>
        <w:jc w:val="both"/>
        <w:rPr>
          <w:rFonts w:ascii="Courier New" w:hAnsi="Courier New" w:cs="Courier New"/>
          <w:kern w:val="3"/>
        </w:rPr>
      </w:pPr>
    </w:p>
    <w:p w:rsidR="00BC06BF" w:rsidRPr="006A4085" w:rsidP="00BC06BF" w14:paraId="38896678" w14:textId="77777777">
      <w:pPr>
        <w:overflowPunct w:val="0"/>
        <w:autoSpaceDN w:val="0"/>
        <w:spacing w:before="120" w:after="120" w:line="276" w:lineRule="auto"/>
        <w:jc w:val="both"/>
        <w:rPr>
          <w:rFonts w:ascii="Courier New" w:hAnsi="Courier New" w:cs="Courier New"/>
          <w:bCs/>
          <w:kern w:val="3"/>
        </w:rPr>
      </w:pPr>
    </w:p>
    <w:p w:rsidR="00C315C8" w:rsidRPr="00C315C8" w:rsidP="00C315C8" w14:paraId="2F85064C" w14:textId="32A4BBE5">
      <w:pPr>
        <w:spacing w:before="120" w:after="120" w:line="360" w:lineRule="auto"/>
        <w:ind w:firstLine="708"/>
        <w:jc w:val="both"/>
        <w:rPr>
          <w:rFonts w:ascii="Courier New" w:hAnsi="Courier New" w:cs="Courier New"/>
        </w:rPr>
      </w:pPr>
      <w:r w:rsidRPr="00C315C8">
        <w:rPr>
          <w:rFonts w:ascii="Courier New" w:hAnsi="Courier New" w:cs="Courier New"/>
        </w:rPr>
        <w:t>Altera a redação do Parágrafo único do Art. 6º do Projeto de Lei nº 12/2026</w:t>
      </w:r>
      <w:r>
        <w:rPr>
          <w:rFonts w:ascii="Courier New" w:hAnsi="Courier New" w:cs="Courier New"/>
        </w:rPr>
        <w:t>, passando a vigorar com a seguinte redação:</w:t>
      </w:r>
    </w:p>
    <w:p w:rsidR="008F20CC" w:rsidP="006A4085" w14:paraId="3262CBEB" w14:textId="4C1A7EF3">
      <w:pPr>
        <w:spacing w:before="120" w:after="120" w:line="360" w:lineRule="auto"/>
        <w:ind w:firstLine="708"/>
        <w:jc w:val="both"/>
        <w:rPr>
          <w:rFonts w:ascii="Courier New" w:hAnsi="Courier New" w:cs="Courier New"/>
        </w:rPr>
      </w:pPr>
    </w:p>
    <w:p w:rsidR="008F20CC" w:rsidRPr="00C315C8" w:rsidP="00C315C8" w14:paraId="0F767C57" w14:textId="47B88886">
      <w:pPr>
        <w:spacing w:before="120" w:after="120" w:line="360" w:lineRule="auto"/>
        <w:jc w:val="both"/>
        <w:rPr>
          <w:rFonts w:ascii="Courier New" w:hAnsi="Courier New" w:cs="Courier New"/>
          <w:i/>
          <w:iCs/>
        </w:rPr>
      </w:pPr>
      <w:r>
        <w:rPr>
          <w:rFonts w:ascii="Courier New" w:hAnsi="Courier New" w:cs="Courier New"/>
        </w:rPr>
        <w:t>“</w:t>
      </w:r>
      <w:r w:rsidRPr="00C315C8">
        <w:rPr>
          <w:rFonts w:ascii="Courier New" w:hAnsi="Courier New" w:cs="Courier New"/>
          <w:b/>
          <w:bCs/>
        </w:rPr>
        <w:t>Art. 6º</w:t>
      </w:r>
      <w:r w:rsidRPr="00C315C8">
        <w:rPr>
          <w:rFonts w:ascii="Courier New" w:hAnsi="Courier New" w:cs="Courier New"/>
        </w:rPr>
        <w:t xml:space="preserve"> </w:t>
      </w:r>
      <w:r w:rsidRPr="00C315C8">
        <w:rPr>
          <w:rFonts w:ascii="Courier New" w:hAnsi="Courier New" w:cs="Courier New"/>
          <w:i/>
          <w:iCs/>
        </w:rPr>
        <w:t>(mantém-se o texto original do Art. 6º, caput)</w:t>
      </w:r>
    </w:p>
    <w:p w:rsidR="00C315C8" w:rsidRPr="00C315C8" w:rsidP="00C315C8" w14:paraId="2D489E64" w14:textId="1FE9B6F1">
      <w:pPr>
        <w:spacing w:before="120" w:after="120" w:line="360" w:lineRule="auto"/>
        <w:jc w:val="both"/>
        <w:rPr>
          <w:rFonts w:ascii="Courier New" w:hAnsi="Courier New" w:cs="Courier New"/>
        </w:rPr>
      </w:pPr>
      <w:r w:rsidRPr="00C315C8">
        <w:rPr>
          <w:rFonts w:ascii="Courier New" w:hAnsi="Courier New" w:cs="Courier New"/>
          <w:b/>
          <w:bCs/>
        </w:rPr>
        <w:t>Parágrafo único.</w:t>
      </w:r>
      <w:r w:rsidRPr="00C315C8">
        <w:rPr>
          <w:rFonts w:ascii="Courier New" w:hAnsi="Courier New" w:cs="Courier New"/>
        </w:rPr>
        <w:t xml:space="preserve"> </w:t>
      </w:r>
      <w:r>
        <w:rPr>
          <w:rFonts w:ascii="Courier New" w:hAnsi="Courier New" w:cs="Courier New"/>
        </w:rPr>
        <w:t xml:space="preserve">Caberá ao </w:t>
      </w:r>
      <w:r w:rsidRPr="00C315C8">
        <w:rPr>
          <w:rFonts w:ascii="Courier New" w:hAnsi="Courier New" w:cs="Courier New"/>
        </w:rPr>
        <w:t xml:space="preserve">Poder Público </w:t>
      </w:r>
      <w:r>
        <w:rPr>
          <w:rFonts w:ascii="Courier New" w:hAnsi="Courier New" w:cs="Courier New"/>
        </w:rPr>
        <w:t xml:space="preserve">garantir </w:t>
      </w:r>
      <w:r w:rsidRPr="00C315C8">
        <w:rPr>
          <w:rFonts w:ascii="Courier New" w:hAnsi="Courier New" w:cs="Courier New"/>
        </w:rPr>
        <w:t xml:space="preserve">as adaptações assistivas necessárias para a plena participação de crianças e adolescentes com necessidades </w:t>
      </w:r>
      <w:r>
        <w:rPr>
          <w:rFonts w:ascii="Courier New" w:hAnsi="Courier New" w:cs="Courier New"/>
        </w:rPr>
        <w:t>específicas</w:t>
      </w:r>
      <w:r w:rsidRPr="00C315C8">
        <w:rPr>
          <w:rFonts w:ascii="Courier New" w:hAnsi="Courier New" w:cs="Courier New"/>
        </w:rPr>
        <w:t>, em conformidade com a Lei Federal nº 13.146, de 6 de julho de 2015 (Estatuto da Pessoa com Deficiência).</w:t>
      </w:r>
      <w:r>
        <w:rPr>
          <w:rFonts w:ascii="Courier New" w:hAnsi="Courier New" w:cs="Courier New"/>
        </w:rPr>
        <w:t>”</w:t>
      </w:r>
    </w:p>
    <w:p w:rsidR="008F20CC" w:rsidP="006A4085" w14:paraId="679D95B4" w14:textId="77777777">
      <w:pPr>
        <w:spacing w:before="120" w:after="120" w:line="360" w:lineRule="auto"/>
        <w:ind w:firstLine="708"/>
        <w:jc w:val="both"/>
        <w:rPr>
          <w:rFonts w:ascii="Courier New" w:hAnsi="Courier New" w:cs="Courier New"/>
        </w:rPr>
      </w:pPr>
    </w:p>
    <w:p w:rsidR="008F20CC" w:rsidP="006A4085" w14:paraId="41888B5A" w14:textId="77777777">
      <w:pPr>
        <w:spacing w:before="120" w:after="120" w:line="360" w:lineRule="auto"/>
        <w:ind w:firstLine="708"/>
        <w:jc w:val="both"/>
        <w:rPr>
          <w:rFonts w:ascii="Courier New" w:hAnsi="Courier New" w:cs="Courier New"/>
        </w:rPr>
      </w:pPr>
    </w:p>
    <w:p w:rsidR="00424CF2" w:rsidRPr="00424CF2" w:rsidP="00424CF2" w14:paraId="28F0740A" w14:textId="1BE01038">
      <w:pPr>
        <w:spacing w:before="120" w:after="120" w:line="360" w:lineRule="auto"/>
        <w:jc w:val="right"/>
        <w:rPr>
          <w:rFonts w:ascii="Courier New" w:hAnsi="Courier New" w:cs="Courier New"/>
          <w:i/>
          <w:iCs/>
        </w:rPr>
      </w:pPr>
      <w:r w:rsidRPr="00424CF2">
        <w:rPr>
          <w:rFonts w:ascii="Courier New" w:hAnsi="Courier New" w:cs="Courier New"/>
          <w:i/>
          <w:iCs/>
        </w:rPr>
        <w:t xml:space="preserve">Sala das Sessões “Vereador Santo </w:t>
      </w:r>
      <w:r w:rsidRPr="00424CF2">
        <w:rPr>
          <w:rFonts w:ascii="Courier New" w:hAnsi="Courier New" w:cs="Courier New"/>
          <w:i/>
          <w:iCs/>
        </w:rPr>
        <w:t>Róttoli</w:t>
      </w:r>
      <w:r w:rsidRPr="00424CF2">
        <w:rPr>
          <w:rFonts w:ascii="Courier New" w:hAnsi="Courier New" w:cs="Courier New"/>
          <w:i/>
          <w:iCs/>
        </w:rPr>
        <w:t xml:space="preserve">”, </w:t>
      </w:r>
      <w:r w:rsidRPr="00424CF2">
        <w:rPr>
          <w:rFonts w:ascii="Courier New" w:hAnsi="Courier New" w:cs="Courier New"/>
          <w:i/>
          <w:iCs/>
        </w:rPr>
        <w:fldChar w:fldCharType="begin"/>
      </w:r>
      <w:r w:rsidRPr="00424CF2">
        <w:rPr>
          <w:rFonts w:ascii="Courier New" w:hAnsi="Courier New" w:cs="Courier New"/>
          <w:i/>
          <w:iCs/>
        </w:rPr>
        <w:instrText xml:space="preserve"> TIME \@ "d' de 'MMMM' de 'yyyy" </w:instrText>
      </w:r>
      <w:r w:rsidRPr="00424CF2">
        <w:rPr>
          <w:rFonts w:ascii="Courier New" w:hAnsi="Courier New" w:cs="Courier New"/>
          <w:i/>
          <w:iCs/>
        </w:rPr>
        <w:fldChar w:fldCharType="separate"/>
      </w:r>
      <w:r w:rsidRPr="00424CF2">
        <w:rPr>
          <w:rFonts w:ascii="Courier New" w:hAnsi="Courier New" w:cs="Courier New"/>
          <w:i/>
          <w:iCs/>
        </w:rPr>
        <w:t>13 de abril de 2026</w:t>
      </w:r>
      <w:r w:rsidRPr="00424CF2">
        <w:rPr>
          <w:rFonts w:ascii="Courier New" w:hAnsi="Courier New" w:cs="Courier New"/>
          <w:i/>
          <w:iCs/>
        </w:rPr>
        <w:fldChar w:fldCharType="end"/>
      </w:r>
      <w:r w:rsidRPr="00424CF2">
        <w:rPr>
          <w:rFonts w:ascii="Courier New" w:hAnsi="Courier New" w:cs="Courier New"/>
          <w:i/>
          <w:iCs/>
        </w:rPr>
        <w:t>.</w:t>
      </w:r>
    </w:p>
    <w:p w:rsidR="00424CF2" w:rsidP="006A4085" w14:paraId="343E03A1" w14:textId="77777777">
      <w:pPr>
        <w:spacing w:before="120" w:after="120" w:line="360" w:lineRule="auto"/>
        <w:ind w:firstLine="708"/>
        <w:jc w:val="both"/>
        <w:rPr>
          <w:rFonts w:ascii="Courier New" w:hAnsi="Courier New" w:cs="Courier New"/>
          <w:sz w:val="20"/>
          <w:szCs w:val="20"/>
        </w:rPr>
      </w:pPr>
    </w:p>
    <w:p w:rsidR="00C315C8" w:rsidRPr="006A4085" w:rsidP="006A4085" w14:paraId="0ABF981A" w14:textId="77777777">
      <w:pPr>
        <w:spacing w:before="120" w:after="120" w:line="360" w:lineRule="auto"/>
        <w:ind w:firstLine="708"/>
        <w:jc w:val="both"/>
        <w:rPr>
          <w:rFonts w:ascii="Courier New" w:hAnsi="Courier New" w:cs="Courier New"/>
          <w:sz w:val="20"/>
          <w:szCs w:val="20"/>
        </w:rPr>
      </w:pPr>
    </w:p>
    <w:p w:rsidR="00424CF2" w:rsidRPr="00424CF2" w:rsidP="00424CF2" w14:paraId="4AF5269B" w14:textId="77777777">
      <w:pPr>
        <w:spacing w:line="480" w:lineRule="auto"/>
        <w:jc w:val="center"/>
        <w:rPr>
          <w:rFonts w:ascii="Courier New" w:hAnsi="Courier New" w:cs="Courier New"/>
        </w:rPr>
      </w:pPr>
      <w:r w:rsidRPr="00424CF2">
        <w:rPr>
          <w:rFonts w:ascii="Courier New" w:hAnsi="Courier New" w:cs="Courier New"/>
          <w:i/>
          <w:iCs/>
        </w:rPr>
        <w:t>(assinado digitalmente)</w:t>
      </w:r>
    </w:p>
    <w:p w:rsidR="00424CF2" w:rsidRPr="00424CF2" w:rsidP="00424CF2" w14:paraId="39D6F33B" w14:textId="77777777">
      <w:pPr>
        <w:spacing w:line="360" w:lineRule="auto"/>
        <w:jc w:val="center"/>
        <w:rPr>
          <w:rFonts w:ascii="Courier New" w:hAnsi="Courier New" w:cs="Courier New"/>
          <w:b/>
          <w:bCs/>
        </w:rPr>
      </w:pPr>
      <w:r w:rsidRPr="00424CF2">
        <w:rPr>
          <w:rFonts w:ascii="Courier New" w:hAnsi="Courier New" w:cs="Courier New"/>
          <w:b/>
          <w:bCs/>
        </w:rPr>
        <w:t>VEREADOR ERNANI LUIZ DONATTI GRAGNANELLO</w:t>
      </w:r>
      <w:r w:rsidRPr="00424CF2">
        <w:rPr>
          <w:rFonts w:ascii="Courier New" w:hAnsi="Courier New" w:cs="Courier New"/>
          <w:b/>
          <w:bCs/>
        </w:rPr>
        <w:br/>
        <w:t>PARTIDO DOS TRABALHADORES (PT)</w:t>
      </w:r>
    </w:p>
    <w:p w:rsidR="00424CF2" w:rsidRPr="00424CF2" w:rsidP="00424CF2" w14:paraId="063DFFFE" w14:textId="77777777">
      <w:pPr>
        <w:spacing w:line="360" w:lineRule="auto"/>
        <w:jc w:val="center"/>
        <w:rPr>
          <w:rFonts w:ascii="Courier New" w:hAnsi="Courier New" w:cs="Courier New"/>
          <w:b/>
          <w:bCs/>
        </w:rPr>
      </w:pPr>
    </w:p>
    <w:p w:rsidR="002575B7" w:rsidP="002575B7" w14:paraId="6A10237E" w14:textId="358EECD8">
      <w:pPr>
        <w:spacing w:before="120" w:after="120" w:line="360" w:lineRule="auto"/>
        <w:jc w:val="center"/>
        <w:rPr>
          <w:rFonts w:ascii="Courier New" w:hAnsi="Courier New" w:cs="Courier New"/>
        </w:rPr>
      </w:pPr>
      <w:r w:rsidRPr="000E658D">
        <w:rPr>
          <w:rFonts w:ascii="Courier New" w:hAnsi="Courier New" w:cs="Courier New"/>
          <w:b/>
          <w:noProof/>
          <w:sz w:val="24"/>
          <w:szCs w:val="24"/>
        </w:rPr>
        <w:drawing>
          <wp:inline distT="0" distB="0" distL="0" distR="0">
            <wp:extent cx="2914786" cy="1352550"/>
            <wp:effectExtent l="0" t="0" r="0" b="0"/>
            <wp:docPr id="1389200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06916"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934779" cy="1361827"/>
                    </a:xfrm>
                    <a:prstGeom prst="rect">
                      <a:avLst/>
                    </a:prstGeom>
                    <a:noFill/>
                    <a:ln>
                      <a:noFill/>
                    </a:ln>
                  </pic:spPr>
                </pic:pic>
              </a:graphicData>
            </a:graphic>
          </wp:inline>
        </w:drawing>
      </w:r>
      <w:r w:rsidRPr="006A4085">
        <w:rPr>
          <w:rFonts w:ascii="Courier New" w:hAnsi="Courier New" w:cs="Courier New"/>
        </w:rPr>
        <w:br w:type="page"/>
      </w:r>
    </w:p>
    <w:p w:rsidR="00424CF2" w:rsidRPr="00C315C8" w:rsidP="00424CF2" w14:paraId="02B6DD8E" w14:textId="35CF1E7F">
      <w:pPr>
        <w:spacing w:before="120" w:after="120"/>
        <w:jc w:val="center"/>
        <w:rPr>
          <w:rFonts w:ascii="Courier New" w:hAnsi="Courier New" w:cs="Courier New"/>
          <w:b/>
          <w:bCs/>
          <w:u w:val="single"/>
        </w:rPr>
      </w:pPr>
      <w:r w:rsidRPr="00C315C8">
        <w:rPr>
          <w:rFonts w:ascii="Courier New" w:hAnsi="Courier New" w:cs="Courier New"/>
          <w:b/>
          <w:bCs/>
          <w:u w:val="single"/>
        </w:rPr>
        <w:t>JUSTIFICAÇÃO</w:t>
      </w:r>
    </w:p>
    <w:p w:rsidR="00C315C8" w:rsidP="00FB0DF0" w14:paraId="32748FEA" w14:textId="77777777">
      <w:pPr>
        <w:spacing w:before="120" w:after="120" w:line="360" w:lineRule="auto"/>
        <w:ind w:firstLine="567"/>
        <w:jc w:val="both"/>
        <w:rPr>
          <w:rFonts w:ascii="Courier New" w:hAnsi="Courier New" w:cs="Courier New"/>
        </w:rPr>
      </w:pPr>
    </w:p>
    <w:p w:rsidR="00DC5E39" w:rsidP="00DC5E39" w14:paraId="6C583E7C" w14:textId="5233593E">
      <w:pPr>
        <w:spacing w:before="120" w:after="120" w:line="360" w:lineRule="auto"/>
        <w:ind w:firstLine="567"/>
        <w:jc w:val="both"/>
        <w:rPr>
          <w:rFonts w:ascii="Courier New" w:hAnsi="Courier New" w:cs="Courier New"/>
        </w:rPr>
      </w:pPr>
      <w:r w:rsidRPr="00DC5E39">
        <w:rPr>
          <w:rFonts w:ascii="Courier New" w:hAnsi="Courier New" w:cs="Courier New"/>
        </w:rPr>
        <w:t>A presente emenda objetiva resguardar a higidez constitucional e a efetividade material do programa, assegurando-lhe o indispensável caráter inclusivo em consonância com o ordenamento jurídico pátrio.</w:t>
      </w:r>
    </w:p>
    <w:p w:rsidR="00DC5E39" w:rsidP="00DC5E39" w14:paraId="1AFB8A55" w14:textId="74922C5A">
      <w:pPr>
        <w:spacing w:before="120" w:after="120" w:line="360" w:lineRule="auto"/>
        <w:ind w:firstLine="567"/>
        <w:jc w:val="both"/>
        <w:rPr>
          <w:rFonts w:ascii="Courier New" w:hAnsi="Courier New" w:cs="Courier New"/>
        </w:rPr>
      </w:pPr>
      <w:r w:rsidRPr="00DC5E39">
        <w:rPr>
          <w:rFonts w:ascii="Courier New" w:hAnsi="Courier New" w:cs="Courier New"/>
        </w:rPr>
        <w:t xml:space="preserve">A redação originária, ao condicionar a participação de crianças com necessidades </w:t>
      </w:r>
      <w:r>
        <w:rPr>
          <w:rFonts w:ascii="Courier New" w:hAnsi="Courier New" w:cs="Courier New"/>
        </w:rPr>
        <w:t xml:space="preserve">específicas </w:t>
      </w:r>
      <w:r w:rsidRPr="00DC5E39">
        <w:rPr>
          <w:rFonts w:ascii="Courier New" w:hAnsi="Courier New" w:cs="Courier New"/>
          <w:strike/>
        </w:rPr>
        <w:t>(especiais)</w:t>
      </w:r>
      <w:r w:rsidRPr="00DC5E39">
        <w:rPr>
          <w:rFonts w:ascii="Courier New" w:hAnsi="Courier New" w:cs="Courier New"/>
        </w:rPr>
        <w:t xml:space="preserve"> a uma subjetiva "</w:t>
      </w:r>
      <w:r w:rsidRPr="00DC5E39">
        <w:rPr>
          <w:rFonts w:ascii="Courier New" w:hAnsi="Courier New" w:cs="Courier New"/>
          <w:i/>
          <w:iCs/>
        </w:rPr>
        <w:t>análise de viabilidade</w:t>
      </w:r>
      <w:r w:rsidRPr="00DC5E39">
        <w:rPr>
          <w:rFonts w:ascii="Courier New" w:hAnsi="Courier New" w:cs="Courier New"/>
        </w:rPr>
        <w:t xml:space="preserve">", institui, por via transversa, uma barreira discriminatória e atitudinal que colide frontalmente com o </w:t>
      </w:r>
      <w:r w:rsidRPr="00DC5E39">
        <w:rPr>
          <w:rFonts w:ascii="Courier New" w:hAnsi="Courier New" w:cs="Courier New"/>
          <w:b/>
          <w:bCs/>
        </w:rPr>
        <w:t>Princípio da Prioridade Absoluta</w:t>
      </w:r>
      <w:r w:rsidRPr="00DC5E39">
        <w:rPr>
          <w:rFonts w:ascii="Courier New" w:hAnsi="Courier New" w:cs="Courier New"/>
        </w:rPr>
        <w:t xml:space="preserve"> (Art. 227 da Constituição Federal) e com as diretrizes da Lei 13.146/2015 (</w:t>
      </w:r>
      <w:r w:rsidRPr="00DC5E39">
        <w:rPr>
          <w:rFonts w:ascii="Courier New" w:hAnsi="Courier New" w:cs="Courier New"/>
          <w:b/>
          <w:bCs/>
        </w:rPr>
        <w:t>Estatuto da Pessoa com Deficiência</w:t>
      </w:r>
      <w:r w:rsidRPr="00DC5E39">
        <w:rPr>
          <w:rFonts w:ascii="Courier New" w:hAnsi="Courier New" w:cs="Courier New"/>
        </w:rPr>
        <w:t>).</w:t>
      </w:r>
    </w:p>
    <w:p w:rsidR="00DC5E39" w:rsidP="00DC5E39" w14:paraId="2DE09F1D" w14:textId="77777777">
      <w:pPr>
        <w:spacing w:before="120" w:after="120" w:line="360" w:lineRule="auto"/>
        <w:ind w:firstLine="567"/>
        <w:jc w:val="both"/>
        <w:rPr>
          <w:rFonts w:ascii="Courier New" w:hAnsi="Courier New" w:cs="Courier New"/>
        </w:rPr>
      </w:pPr>
      <w:r w:rsidRPr="00DC5E39">
        <w:rPr>
          <w:rFonts w:ascii="Courier New" w:hAnsi="Courier New" w:cs="Courier New"/>
        </w:rPr>
        <w:t xml:space="preserve">Sob o prisma do </w:t>
      </w:r>
      <w:r w:rsidRPr="00DC5E39">
        <w:rPr>
          <w:rFonts w:ascii="Courier New" w:hAnsi="Courier New" w:cs="Courier New"/>
          <w:b/>
          <w:bCs/>
        </w:rPr>
        <w:t>Princípio da Dignidade da Pessoa Humana</w:t>
      </w:r>
      <w:r w:rsidRPr="00DC5E39">
        <w:rPr>
          <w:rFonts w:ascii="Courier New" w:hAnsi="Courier New" w:cs="Courier New"/>
        </w:rPr>
        <w:t xml:space="preserve"> e da </w:t>
      </w:r>
      <w:r w:rsidRPr="00DC5E39">
        <w:rPr>
          <w:rFonts w:ascii="Courier New" w:hAnsi="Courier New" w:cs="Courier New"/>
          <w:b/>
          <w:bCs/>
        </w:rPr>
        <w:t>Máxima Efetividade das Normas Constitucionais</w:t>
      </w:r>
      <w:r w:rsidRPr="00DC5E39">
        <w:rPr>
          <w:rFonts w:ascii="Courier New" w:hAnsi="Courier New" w:cs="Courier New"/>
        </w:rPr>
        <w:t>, a inclusão não se submete ao juízo de conveniência e oportunidade da Administração Pública, configurando-se como dever jurídico cogente e inafastável.</w:t>
      </w:r>
    </w:p>
    <w:p w:rsidR="003E5E0F" w:rsidP="003E5E0F" w14:paraId="3E3860F8" w14:textId="20D466FC">
      <w:pPr>
        <w:spacing w:before="120" w:after="120" w:line="360" w:lineRule="auto"/>
        <w:ind w:firstLine="567"/>
        <w:jc w:val="both"/>
        <w:rPr>
          <w:rFonts w:ascii="Courier New" w:hAnsi="Courier New" w:cs="Courier New"/>
        </w:rPr>
      </w:pPr>
      <w:r w:rsidRPr="003E5E0F">
        <w:rPr>
          <w:rFonts w:ascii="Courier New" w:hAnsi="Courier New" w:cs="Courier New"/>
        </w:rPr>
        <w:t>Tal pretensão encontra amparo primordial na Convenção sobre os Direitos das Pessoas com Deficiência, a Convenção de Nova York, que, nos termos do Artigo 5º, § 3º, da Carta Magna, possui equivalência de emenda constitucional, conforme o Decreto nº 6.949/2009</w:t>
      </w:r>
      <w:r>
        <w:rPr>
          <w:rFonts w:ascii="Courier New" w:hAnsi="Courier New" w:cs="Courier New"/>
        </w:rPr>
        <w:t xml:space="preserve"> (</w:t>
      </w:r>
      <w:r w:rsidRPr="003E5E0F">
        <w:rPr>
          <w:rFonts w:ascii="Courier New" w:hAnsi="Courier New" w:cs="Courier New"/>
          <w:i/>
          <w:iCs/>
        </w:rPr>
        <w:t>“Promulga a Convenção Internacional sobre os Direitos das Pessoas com Deficiência e seu Protocolo Facultativo, assinados em Nova York, em 30 de março de 2007.”</w:t>
      </w:r>
      <w:r>
        <w:rPr>
          <w:rFonts w:ascii="Courier New" w:hAnsi="Courier New" w:cs="Courier New"/>
        </w:rPr>
        <w:t>)</w:t>
      </w:r>
      <w:r w:rsidRPr="003E5E0F">
        <w:rPr>
          <w:rFonts w:ascii="Courier New" w:hAnsi="Courier New" w:cs="Courier New"/>
        </w:rPr>
        <w:t>.</w:t>
      </w:r>
    </w:p>
    <w:p w:rsidR="003E5E0F" w:rsidP="003E5E0F" w14:paraId="56DD9032" w14:textId="77DCBCE1">
      <w:pPr>
        <w:spacing w:before="120" w:after="120" w:line="360" w:lineRule="auto"/>
        <w:ind w:firstLine="567"/>
        <w:jc w:val="both"/>
        <w:rPr>
          <w:rFonts w:ascii="Courier New" w:hAnsi="Courier New" w:cs="Courier New"/>
        </w:rPr>
      </w:pPr>
      <w:r w:rsidRPr="003E5E0F">
        <w:rPr>
          <w:rFonts w:ascii="Courier New" w:hAnsi="Courier New" w:cs="Courier New"/>
        </w:rPr>
        <w:t>Este diploma introduz o Princípio do Modelo Social da Deficiência, deslocando o foco do impedimento físico para as barreiras impostas pela sociedade, e impõe, em seus Artigos 4º e 5º, o dever do Estado de adotar todas as medidas legislativas para modificar práticas que constituam discriminação, inclusive mediante a promoção de adaptações razoáveis</w:t>
      </w:r>
      <w:r>
        <w:rPr>
          <w:rFonts w:ascii="Courier New" w:hAnsi="Courier New" w:cs="Courier New"/>
        </w:rPr>
        <w:t>.</w:t>
      </w:r>
    </w:p>
    <w:p w:rsidR="003E5E0F" w:rsidP="003E5E0F" w14:paraId="335E938B" w14:textId="77777777">
      <w:pPr>
        <w:spacing w:before="120" w:after="120" w:line="360" w:lineRule="auto"/>
        <w:ind w:firstLine="567"/>
        <w:jc w:val="both"/>
        <w:rPr>
          <w:rFonts w:ascii="Courier New" w:hAnsi="Courier New" w:cs="Courier New"/>
        </w:rPr>
      </w:pPr>
      <w:r w:rsidRPr="003E5E0F">
        <w:rPr>
          <w:rFonts w:ascii="Courier New" w:hAnsi="Courier New" w:cs="Courier New"/>
        </w:rPr>
        <w:t xml:space="preserve">Sob o brocardo </w:t>
      </w:r>
      <w:r w:rsidRPr="003E5E0F">
        <w:rPr>
          <w:rFonts w:ascii="Courier New" w:hAnsi="Courier New" w:cs="Courier New"/>
          <w:i/>
          <w:iCs/>
        </w:rPr>
        <w:t>ubi</w:t>
      </w:r>
      <w:r w:rsidRPr="003E5E0F">
        <w:rPr>
          <w:rFonts w:ascii="Courier New" w:hAnsi="Courier New" w:cs="Courier New"/>
          <w:i/>
          <w:iCs/>
        </w:rPr>
        <w:t xml:space="preserve"> </w:t>
      </w:r>
      <w:r w:rsidRPr="003E5E0F">
        <w:rPr>
          <w:rFonts w:ascii="Courier New" w:hAnsi="Courier New" w:cs="Courier New"/>
          <w:i/>
          <w:iCs/>
        </w:rPr>
        <w:t>lex</w:t>
      </w:r>
      <w:r w:rsidRPr="003E5E0F">
        <w:rPr>
          <w:rFonts w:ascii="Courier New" w:hAnsi="Courier New" w:cs="Courier New"/>
          <w:i/>
          <w:iCs/>
        </w:rPr>
        <w:t xml:space="preserve"> non </w:t>
      </w:r>
      <w:r w:rsidRPr="003E5E0F">
        <w:rPr>
          <w:rFonts w:ascii="Courier New" w:hAnsi="Courier New" w:cs="Courier New"/>
          <w:i/>
          <w:iCs/>
        </w:rPr>
        <w:t>distinguit</w:t>
      </w:r>
      <w:r w:rsidRPr="003E5E0F">
        <w:rPr>
          <w:rFonts w:ascii="Courier New" w:hAnsi="Courier New" w:cs="Courier New"/>
          <w:i/>
          <w:iCs/>
        </w:rPr>
        <w:t xml:space="preserve"> </w:t>
      </w:r>
      <w:r w:rsidRPr="003E5E0F">
        <w:rPr>
          <w:rFonts w:ascii="Courier New" w:hAnsi="Courier New" w:cs="Courier New"/>
          <w:i/>
          <w:iCs/>
        </w:rPr>
        <w:t>nec</w:t>
      </w:r>
      <w:r w:rsidRPr="003E5E0F">
        <w:rPr>
          <w:rFonts w:ascii="Courier New" w:hAnsi="Courier New" w:cs="Courier New"/>
          <w:i/>
          <w:iCs/>
        </w:rPr>
        <w:t xml:space="preserve"> nos </w:t>
      </w:r>
      <w:r w:rsidRPr="003E5E0F">
        <w:rPr>
          <w:rFonts w:ascii="Courier New" w:hAnsi="Courier New" w:cs="Courier New"/>
          <w:i/>
          <w:iCs/>
        </w:rPr>
        <w:t>distinguere</w:t>
      </w:r>
      <w:r w:rsidRPr="003E5E0F">
        <w:rPr>
          <w:rFonts w:ascii="Courier New" w:hAnsi="Courier New" w:cs="Courier New"/>
          <w:i/>
          <w:iCs/>
        </w:rPr>
        <w:t xml:space="preserve"> </w:t>
      </w:r>
      <w:r w:rsidRPr="003E5E0F">
        <w:rPr>
          <w:rFonts w:ascii="Courier New" w:hAnsi="Courier New" w:cs="Courier New"/>
          <w:i/>
          <w:iCs/>
        </w:rPr>
        <w:t>debemus</w:t>
      </w:r>
      <w:r w:rsidRPr="003E5E0F">
        <w:rPr>
          <w:rFonts w:ascii="Courier New" w:hAnsi="Courier New" w:cs="Courier New"/>
        </w:rPr>
        <w:t xml:space="preserve">, o Artigo 24 da referida Convenção garante um sistema educacional inclusivo em todos os níveis, </w:t>
      </w:r>
      <w:r w:rsidRPr="003E5E0F">
        <w:rPr>
          <w:rFonts w:ascii="Courier New" w:hAnsi="Courier New" w:cs="Courier New"/>
          <w:b/>
          <w:bCs/>
        </w:rPr>
        <w:t>vedando a exclusão sob pretexto de dificuldades técnicas</w:t>
      </w:r>
      <w:r w:rsidRPr="003E5E0F">
        <w:rPr>
          <w:rFonts w:ascii="Courier New" w:hAnsi="Courier New" w:cs="Courier New"/>
        </w:rPr>
        <w:t xml:space="preserve">, em estrita observância ao Princípio da Proibição do Retrocesso Social e à máxima </w:t>
      </w:r>
      <w:r w:rsidRPr="003E5E0F">
        <w:rPr>
          <w:rFonts w:ascii="Courier New" w:hAnsi="Courier New" w:cs="Courier New"/>
          <w:i/>
          <w:iCs/>
        </w:rPr>
        <w:t>pacta sunt servanda</w:t>
      </w:r>
      <w:r w:rsidRPr="003E5E0F">
        <w:rPr>
          <w:rFonts w:ascii="Courier New" w:hAnsi="Courier New" w:cs="Courier New"/>
        </w:rPr>
        <w:t>.</w:t>
      </w:r>
    </w:p>
    <w:p w:rsidR="003E5E0F" w:rsidP="003E5E0F" w14:paraId="50FB3341" w14:textId="77777777">
      <w:pPr>
        <w:spacing w:before="120" w:after="120" w:line="360" w:lineRule="auto"/>
        <w:ind w:firstLine="567"/>
        <w:jc w:val="both"/>
        <w:rPr>
          <w:rFonts w:ascii="Courier New" w:hAnsi="Courier New" w:cs="Courier New"/>
        </w:rPr>
      </w:pPr>
      <w:r>
        <w:rPr>
          <w:rFonts w:ascii="Courier New" w:hAnsi="Courier New" w:cs="Courier New"/>
        </w:rPr>
        <w:t>Ora, a</w:t>
      </w:r>
      <w:r w:rsidRPr="003E5E0F">
        <w:rPr>
          <w:rFonts w:ascii="Courier New" w:hAnsi="Courier New" w:cs="Courier New"/>
        </w:rPr>
        <w:t xml:space="preserve"> "análise de viabilidade" evocada no texto original tenta utilizar a cláusula da reserva do possível como subterfúgio para cercear direitos fundamentais, ignorando que o ônus da prova da impossibilidade recai sobre o Ente Público e que </w:t>
      </w:r>
      <w:r w:rsidRPr="003E5E0F">
        <w:rPr>
          <w:rFonts w:ascii="Courier New" w:hAnsi="Courier New" w:cs="Courier New"/>
          <w:i/>
          <w:iCs/>
        </w:rPr>
        <w:t xml:space="preserve">ad </w:t>
      </w:r>
      <w:r w:rsidRPr="003E5E0F">
        <w:rPr>
          <w:rFonts w:ascii="Courier New" w:hAnsi="Courier New" w:cs="Courier New"/>
          <w:i/>
          <w:iCs/>
        </w:rPr>
        <w:t>impossibilia</w:t>
      </w:r>
      <w:r w:rsidRPr="003E5E0F">
        <w:rPr>
          <w:rFonts w:ascii="Courier New" w:hAnsi="Courier New" w:cs="Courier New"/>
          <w:i/>
          <w:iCs/>
        </w:rPr>
        <w:t xml:space="preserve"> nemo tenetur</w:t>
      </w:r>
      <w:r w:rsidRPr="003E5E0F">
        <w:rPr>
          <w:rFonts w:ascii="Courier New" w:hAnsi="Courier New" w:cs="Courier New"/>
        </w:rPr>
        <w:t xml:space="preserve"> não pode servir de pretexto para o descumprimento do mínimo existencial.</w:t>
      </w:r>
    </w:p>
    <w:p w:rsidR="003E5E0F" w:rsidRPr="003E5E0F" w:rsidP="003E5E0F" w14:paraId="1D492566" w14:textId="717388FA">
      <w:pPr>
        <w:spacing w:before="120" w:after="120" w:line="360" w:lineRule="auto"/>
        <w:ind w:firstLine="567"/>
        <w:jc w:val="both"/>
        <w:rPr>
          <w:rFonts w:ascii="Courier New" w:hAnsi="Courier New" w:cs="Courier New"/>
        </w:rPr>
      </w:pPr>
      <w:r>
        <w:rPr>
          <w:rFonts w:ascii="Courier New" w:hAnsi="Courier New" w:cs="Courier New"/>
        </w:rPr>
        <w:t>Sabe-se que a</w:t>
      </w:r>
      <w:r w:rsidRPr="003E5E0F">
        <w:rPr>
          <w:rFonts w:ascii="Courier New" w:hAnsi="Courier New" w:cs="Courier New"/>
        </w:rPr>
        <w:t xml:space="preserve"> melhor doutrina constitucional pátria fundamenta esta proposição. </w:t>
      </w:r>
      <w:r w:rsidRPr="003E5E0F">
        <w:rPr>
          <w:rFonts w:ascii="Courier New" w:hAnsi="Courier New" w:cs="Courier New"/>
          <w:b/>
          <w:bCs/>
        </w:rPr>
        <w:t xml:space="preserve">Ingo Wolfgang </w:t>
      </w:r>
      <w:r w:rsidRPr="003E5E0F">
        <w:rPr>
          <w:rFonts w:ascii="Courier New" w:hAnsi="Courier New" w:cs="Courier New"/>
          <w:b/>
          <w:bCs/>
        </w:rPr>
        <w:t>Sarlet</w:t>
      </w:r>
      <w:r w:rsidRPr="003E5E0F">
        <w:rPr>
          <w:rFonts w:ascii="Courier New" w:hAnsi="Courier New" w:cs="Courier New"/>
        </w:rPr>
        <w:t xml:space="preserve"> ensina que os direitos fundamentais devem ser interpretados sob o prisma do </w:t>
      </w:r>
      <w:r w:rsidRPr="003E5E0F">
        <w:rPr>
          <w:rFonts w:ascii="Courier New" w:hAnsi="Courier New" w:cs="Courier New"/>
          <w:b/>
          <w:bCs/>
        </w:rPr>
        <w:t>princípio da máxima efetividade</w:t>
      </w:r>
      <w:r w:rsidRPr="003E5E0F">
        <w:rPr>
          <w:rFonts w:ascii="Courier New" w:hAnsi="Courier New" w:cs="Courier New"/>
        </w:rPr>
        <w:t>, buscando-se a mais ampla eficácia social, sendo inaceitável que a norma infraconstitucional esvazie o conteúdo de um direito ao condicioná-lo a uma vaga "análise de viabilidade" (</w:t>
      </w:r>
      <w:r w:rsidRPr="008D5E73" w:rsidR="008D5E73">
        <w:rPr>
          <w:rFonts w:ascii="Courier New" w:hAnsi="Courier New" w:cs="Courier New"/>
          <w:i/>
          <w:iCs/>
        </w:rPr>
        <w:t>SARLET</w:t>
      </w:r>
      <w:r w:rsidRPr="008D5E73" w:rsidR="008D5E73">
        <w:rPr>
          <w:rFonts w:ascii="Courier New" w:hAnsi="Courier New" w:cs="Courier New"/>
          <w:i/>
          <w:iCs/>
        </w:rPr>
        <w:t>, Ingo Wolfgang. A Eficácia dos Direitos Fundamentais: Uma Teoria Geral. 13. ed. Porto Alegre: Livraria do Advogado, 2018</w:t>
      </w:r>
      <w:r w:rsidRPr="003E5E0F">
        <w:rPr>
          <w:rFonts w:ascii="Courier New" w:hAnsi="Courier New" w:cs="Courier New"/>
        </w:rPr>
        <w:t xml:space="preserve">). No mesmo sentido, </w:t>
      </w:r>
      <w:r w:rsidRPr="003E5E0F">
        <w:rPr>
          <w:rFonts w:ascii="Courier New" w:hAnsi="Courier New" w:cs="Courier New"/>
          <w:b/>
          <w:bCs/>
        </w:rPr>
        <w:t>Flávia Piovesan</w:t>
      </w:r>
      <w:r w:rsidRPr="003E5E0F">
        <w:rPr>
          <w:rFonts w:ascii="Courier New" w:hAnsi="Courier New" w:cs="Courier New"/>
        </w:rPr>
        <w:t xml:space="preserve"> destaca que a </w:t>
      </w:r>
      <w:r w:rsidRPr="003E5E0F">
        <w:rPr>
          <w:rFonts w:ascii="Courier New" w:hAnsi="Courier New" w:cs="Courier New"/>
          <w:b/>
          <w:bCs/>
        </w:rPr>
        <w:t>Convenção Internacional sobre os Direitos das Pessoas com Deficiência</w:t>
      </w:r>
      <w:r w:rsidRPr="003E5E0F">
        <w:rPr>
          <w:rFonts w:ascii="Courier New" w:hAnsi="Courier New" w:cs="Courier New"/>
        </w:rPr>
        <w:t>, internalizada com status de emenda constitucional pelo Decreto nº 6.949/2009, impõe ao Estado o dever de promover a "adaptação razoável" para garantir o gozo e exercício de todos os direitos humanos em igualdade de oportunidades (</w:t>
      </w:r>
      <w:r w:rsidRPr="008D5E73" w:rsidR="008D5E73">
        <w:rPr>
          <w:rFonts w:ascii="Courier New" w:hAnsi="Courier New" w:cs="Courier New"/>
          <w:i/>
          <w:iCs/>
        </w:rPr>
        <w:t>PIOVESAN, Flávia. Direitos Humanos e o Direito Constitucional Internacional. 21. ed. São Paulo: Saraiva, 2020</w:t>
      </w:r>
      <w:r w:rsidRPr="003E5E0F">
        <w:rPr>
          <w:rFonts w:ascii="Courier New" w:hAnsi="Courier New" w:cs="Courier New"/>
        </w:rPr>
        <w:t>).</w:t>
      </w:r>
      <w:r w:rsidR="008D5E73">
        <w:rPr>
          <w:rFonts w:ascii="Courier New" w:hAnsi="Courier New" w:cs="Courier New"/>
        </w:rPr>
        <w:t xml:space="preserve"> Por fim, </w:t>
      </w:r>
      <w:r w:rsidRPr="008D5E73" w:rsidR="008D5E73">
        <w:rPr>
          <w:rFonts w:ascii="Courier New" w:hAnsi="Courier New" w:cs="Courier New"/>
          <w:b/>
          <w:bCs/>
        </w:rPr>
        <w:t xml:space="preserve">Valerio de Oliveira </w:t>
      </w:r>
      <w:r w:rsidRPr="008D5E73" w:rsidR="008D5E73">
        <w:rPr>
          <w:rFonts w:ascii="Courier New" w:hAnsi="Courier New" w:cs="Courier New"/>
          <w:b/>
          <w:bCs/>
        </w:rPr>
        <w:t>Mazzuoli</w:t>
      </w:r>
      <w:r w:rsidRPr="008D5E73" w:rsidR="008D5E73">
        <w:rPr>
          <w:rFonts w:ascii="Courier New" w:hAnsi="Courier New" w:cs="Courier New"/>
        </w:rPr>
        <w:t xml:space="preserve"> reforça que o diálogo entre o direito internacional dos direitos humanos e o direito interno impõe uma obrigação de agir ao Estado, que não pode invocar entraves internos, como a "análise de viabilidade", para se eximir de cumprir um tratado de direitos humanos</w:t>
      </w:r>
      <w:r w:rsidR="008D5E73">
        <w:rPr>
          <w:rFonts w:ascii="Courier New" w:hAnsi="Courier New" w:cs="Courier New"/>
        </w:rPr>
        <w:t xml:space="preserve"> (</w:t>
      </w:r>
      <w:r w:rsidRPr="008D5E73" w:rsidR="008D5E73">
        <w:rPr>
          <w:rFonts w:ascii="Courier New" w:hAnsi="Courier New" w:cs="Courier New"/>
          <w:i/>
          <w:iCs/>
        </w:rPr>
        <w:t>MAZZUOLI</w:t>
      </w:r>
      <w:r w:rsidRPr="008D5E73" w:rsidR="008D5E73">
        <w:rPr>
          <w:rFonts w:ascii="Courier New" w:hAnsi="Courier New" w:cs="Courier New"/>
          <w:i/>
          <w:iCs/>
        </w:rPr>
        <w:t>, Valerio de Oliveira. Curso de Direitos Humanos. 7. ed. Rio de Janeiro: Forense, 2020</w:t>
      </w:r>
      <w:r w:rsidR="008D5E73">
        <w:rPr>
          <w:rFonts w:ascii="Courier New" w:hAnsi="Courier New" w:cs="Courier New"/>
        </w:rPr>
        <w:t>)</w:t>
      </w:r>
      <w:r w:rsidRPr="008D5E73" w:rsidR="008D5E73">
        <w:rPr>
          <w:rFonts w:ascii="Courier New" w:hAnsi="Courier New" w:cs="Courier New"/>
        </w:rPr>
        <w:t>.</w:t>
      </w:r>
    </w:p>
    <w:p w:rsidR="003E5E0F" w:rsidP="003E5E0F" w14:paraId="68076979" w14:textId="77777777">
      <w:pPr>
        <w:spacing w:before="120" w:after="120" w:line="360" w:lineRule="auto"/>
        <w:ind w:firstLine="567"/>
        <w:jc w:val="both"/>
        <w:rPr>
          <w:rFonts w:ascii="Courier New" w:hAnsi="Courier New" w:cs="Courier New"/>
        </w:rPr>
      </w:pPr>
      <w:r w:rsidRPr="003E5E0F">
        <w:rPr>
          <w:rFonts w:ascii="Courier New" w:hAnsi="Courier New" w:cs="Courier New"/>
        </w:rPr>
        <w:t xml:space="preserve">Este entendimento doutrinário encontra eco na jurisprudência pacífica de nossos Tribunais. O </w:t>
      </w:r>
      <w:r w:rsidRPr="003E5E0F">
        <w:rPr>
          <w:rFonts w:ascii="Courier New" w:hAnsi="Courier New" w:cs="Courier New"/>
          <w:b/>
          <w:bCs/>
        </w:rPr>
        <w:t>Supremo Tribunal Federal (STF)</w:t>
      </w:r>
      <w:r w:rsidRPr="003E5E0F">
        <w:rPr>
          <w:rFonts w:ascii="Courier New" w:hAnsi="Courier New" w:cs="Courier New"/>
        </w:rPr>
        <w:t xml:space="preserve">, no julgamento da </w:t>
      </w:r>
      <w:r w:rsidRPr="003E5E0F">
        <w:rPr>
          <w:rFonts w:ascii="Courier New" w:hAnsi="Courier New" w:cs="Courier New"/>
          <w:b/>
          <w:bCs/>
        </w:rPr>
        <w:t>ADI 5357</w:t>
      </w:r>
      <w:r w:rsidRPr="003E5E0F">
        <w:rPr>
          <w:rFonts w:ascii="Courier New" w:hAnsi="Courier New" w:cs="Courier New"/>
        </w:rPr>
        <w:t>, afirmou o dever do Estado na promoção da educação inclusiva, reforçando a obrigação de incluir os alunos com deficiência na rede regular de ensino com todas as adaptações necessárias</w:t>
      </w:r>
      <w:r>
        <w:rPr>
          <w:rFonts w:ascii="Courier New" w:hAnsi="Courier New" w:cs="Courier New"/>
        </w:rPr>
        <w:t>:</w:t>
      </w:r>
    </w:p>
    <w:p w:rsidR="003E5E0F" w:rsidP="003E5E0F" w14:paraId="4AC1C4D8" w14:textId="77777777">
      <w:pPr>
        <w:spacing w:before="120" w:after="120" w:line="360" w:lineRule="auto"/>
        <w:ind w:firstLine="567"/>
        <w:jc w:val="both"/>
        <w:rPr>
          <w:rFonts w:ascii="Courier New" w:hAnsi="Courier New" w:cs="Courier New"/>
        </w:rPr>
      </w:pPr>
    </w:p>
    <w:p w:rsidR="003E5E0F" w:rsidRPr="003E5E0F" w:rsidP="003E5E0F" w14:paraId="0F734636" w14:textId="33C0DBCF">
      <w:pPr>
        <w:pBdr>
          <w:left w:val="single" w:sz="4" w:space="4" w:color="auto"/>
          <w:right w:val="single" w:sz="4" w:space="4" w:color="auto"/>
        </w:pBdr>
        <w:ind w:left="2268"/>
        <w:jc w:val="both"/>
        <w:rPr>
          <w:rFonts w:ascii="Courier New" w:hAnsi="Courier New" w:cs="Courier New"/>
          <w:sz w:val="20"/>
          <w:szCs w:val="20"/>
        </w:rPr>
      </w:pPr>
      <w:r w:rsidRPr="003E5E0F">
        <w:rPr>
          <w:rFonts w:ascii="Courier New" w:hAnsi="Courier New" w:cs="Courier New"/>
          <w:sz w:val="20"/>
          <w:szCs w:val="20"/>
        </w:rPr>
        <w:t xml:space="preserve">AÇÃO DIRETA DE INCONSTITUCIONALIDADE. MEDIDA CAUTELAR. LEI 13.146/2015. ESTATUTO DA PESSOA COM DEFICIÊNCIA. ENSINO INCLUSIVO. CONVENÇÃO INTERNACIONAL SOBRE OS DIREITOS DA PESSOA COM DEFICIÊNCIA. INDEFERIMENTO DA MEDIDA CAUTELAR. CONSTITUCIONALIDADE DA LEI 13.146/2015 (arts. 28, § 1º e 30, caput, da Lei nº 13.146/2015). 1. A Convenção Internacional sobre os Direitos da Pessoa com Deficiência concretiza o princípio da igualdade como fundamento de uma sociedade democrática que respeita a dignidade humana. 2. À luz da Convenção e, por consequência, da própria Constituição da </w:t>
      </w:r>
      <w:r w:rsidRPr="003E5E0F">
        <w:rPr>
          <w:rFonts w:ascii="Courier New" w:hAnsi="Courier New" w:cs="Courier New"/>
          <w:sz w:val="20"/>
          <w:szCs w:val="20"/>
        </w:rPr>
        <w:t>Republica</w:t>
      </w:r>
      <w:r w:rsidRPr="003E5E0F">
        <w:rPr>
          <w:rFonts w:ascii="Courier New" w:hAnsi="Courier New" w:cs="Courier New"/>
          <w:sz w:val="20"/>
          <w:szCs w:val="20"/>
        </w:rPr>
        <w:t xml:space="preserve">, o ensino inclusivo em todos os níveis de educação não é realidade estranha ao ordenamento jurídico pátrio, mas sim imperativo que se põe mediante regra explícita. 3. Nessa toada, a Constituição da Republica prevê em diversos dispositivos a proteção da pessoa com deficiência, conforme se verifica nos artigos 7º, </w:t>
      </w:r>
      <w:r w:rsidRPr="003E5E0F">
        <w:rPr>
          <w:rFonts w:ascii="Courier New" w:hAnsi="Courier New" w:cs="Courier New"/>
          <w:sz w:val="20"/>
          <w:szCs w:val="20"/>
        </w:rPr>
        <w:t>XXXI</w:t>
      </w:r>
      <w:r w:rsidRPr="003E5E0F">
        <w:rPr>
          <w:rFonts w:ascii="Courier New" w:hAnsi="Courier New" w:cs="Courier New"/>
          <w:sz w:val="20"/>
          <w:szCs w:val="20"/>
        </w:rPr>
        <w:t xml:space="preserve">, 23, II, 24, XIV, 37, VIII, 40, § 4º, I, 201, § 1º, 203, IV e V, 208, III, 227, § 1º, II, e § 2º, e 244. 4. Pluralidade e igualdade são duas faces da mesma moeda. O respeito à pluralidade não prescinde do respeito ao princípio da igualdade. E na atual quadra histórica, uma leitura focada tão somente em seu aspecto formal não satisfaz a completude que exige o princípio. Assim, a igualdade não se esgota com a previsão normativa de acesso igualitário a bens jurídicos, mas engloba também a previsão normativa de medidas que efetivamente possibilitem tal acesso e sua efetivação concreta. 5. O enclausuramento em face do diferente furta o colorido da vivência cotidiana, privando-nos da estupefação diante do que se coloca como novo, como diferente. 6. É somente com o convívio com a diferença e com o seu necessário acolhimento que pode haver a construção de uma sociedade livre, justa e solidária, em que o bem de todos seja promovido sem preconceitos de origem, raça, sexo, cor, idade e quaisquer outras formas de discriminação (Art. 3º, I e IV, CRFB). 7. A Lei nº 13.146/2015 indica assumir o compromisso ético de acolhimento e pluralidade democrática adotados pela Constituição ao exigir que não apenas as escolas públicas, mas também </w:t>
      </w:r>
      <w:r w:rsidRPr="003E5E0F">
        <w:rPr>
          <w:rFonts w:ascii="Courier New" w:hAnsi="Courier New" w:cs="Courier New"/>
          <w:sz w:val="20"/>
          <w:szCs w:val="20"/>
        </w:rPr>
        <w:t>as particulares</w:t>
      </w:r>
      <w:r w:rsidRPr="003E5E0F">
        <w:rPr>
          <w:rFonts w:ascii="Courier New" w:hAnsi="Courier New" w:cs="Courier New"/>
          <w:sz w:val="20"/>
          <w:szCs w:val="20"/>
        </w:rPr>
        <w:t xml:space="preserve"> deverão pautar sua atuação educacional a partir de todas as facetas e potencialidades que o direito fundamental à educação possui e que são densificadas em seu Capítulo IV. 8. Medida cautelar indeferida. 9. Conversão do julgamento do referendo do indeferimento da cautelar, por unanimidade, em julgamento definitivo de mérito, julgando, por maioria e nos termos do Voto do Min. Relator Edson Fachin, improcedente a presente ação direta de inconstitucionalidade.</w:t>
      </w:r>
      <w:r>
        <w:rPr>
          <w:rFonts w:ascii="Courier New" w:hAnsi="Courier New" w:cs="Courier New"/>
          <w:sz w:val="20"/>
          <w:szCs w:val="20"/>
        </w:rPr>
        <w:t xml:space="preserve"> </w:t>
      </w:r>
      <w:r w:rsidRPr="003E5E0F">
        <w:rPr>
          <w:rFonts w:ascii="Courier New" w:hAnsi="Courier New" w:cs="Courier New"/>
          <w:sz w:val="20"/>
          <w:szCs w:val="20"/>
        </w:rPr>
        <w:t>(</w:t>
      </w:r>
      <w:r w:rsidRPr="003E5E0F">
        <w:rPr>
          <w:rFonts w:ascii="Courier New" w:hAnsi="Courier New" w:cs="Courier New"/>
          <w:b/>
          <w:bCs/>
          <w:sz w:val="20"/>
          <w:szCs w:val="20"/>
        </w:rPr>
        <w:t>STF</w:t>
      </w:r>
      <w:r w:rsidRPr="003E5E0F">
        <w:rPr>
          <w:rFonts w:ascii="Courier New" w:hAnsi="Courier New" w:cs="Courier New"/>
          <w:sz w:val="20"/>
          <w:szCs w:val="20"/>
        </w:rPr>
        <w:t xml:space="preserve"> - ADI: 5357 DF, Relator: EDSON FACHIN, Data de Julgamento: 09/06/2016, Tribunal Pleno, Data de Publicação: 11/11/2016)</w:t>
      </w:r>
    </w:p>
    <w:p w:rsidR="003E5E0F" w:rsidP="003E5E0F" w14:paraId="7F01331A" w14:textId="77777777">
      <w:pPr>
        <w:spacing w:before="120" w:after="120" w:line="360" w:lineRule="auto"/>
        <w:ind w:firstLine="567"/>
        <w:jc w:val="both"/>
        <w:rPr>
          <w:rFonts w:ascii="Courier New" w:hAnsi="Courier New" w:cs="Courier New"/>
        </w:rPr>
      </w:pPr>
    </w:p>
    <w:p w:rsidR="003E5E0F" w:rsidP="003E5E0F" w14:paraId="3942828A" w14:textId="77777777">
      <w:pPr>
        <w:spacing w:before="120" w:after="120" w:line="360" w:lineRule="auto"/>
        <w:ind w:firstLine="567"/>
        <w:jc w:val="both"/>
        <w:rPr>
          <w:rFonts w:ascii="Courier New" w:hAnsi="Courier New" w:cs="Courier New"/>
        </w:rPr>
      </w:pPr>
      <w:r w:rsidRPr="003E5E0F">
        <w:rPr>
          <w:rFonts w:ascii="Courier New" w:hAnsi="Courier New" w:cs="Courier New"/>
        </w:rPr>
        <w:t xml:space="preserve">O </w:t>
      </w:r>
      <w:r w:rsidRPr="003E5E0F">
        <w:rPr>
          <w:rFonts w:ascii="Courier New" w:hAnsi="Courier New" w:cs="Courier New"/>
          <w:b/>
          <w:bCs/>
        </w:rPr>
        <w:t>Superior Tribunal de Justiça (STJ)</w:t>
      </w:r>
      <w:r w:rsidRPr="003E5E0F">
        <w:rPr>
          <w:rFonts w:ascii="Courier New" w:hAnsi="Courier New" w:cs="Courier New"/>
        </w:rPr>
        <w:t xml:space="preserve">, no </w:t>
      </w:r>
      <w:r w:rsidRPr="003E5E0F">
        <w:rPr>
          <w:rFonts w:ascii="Courier New" w:hAnsi="Courier New" w:cs="Courier New"/>
          <w:b/>
          <w:bCs/>
        </w:rPr>
        <w:t>REsp 1.768.022/PR</w:t>
      </w:r>
      <w:r w:rsidRPr="003E5E0F">
        <w:rPr>
          <w:rFonts w:ascii="Courier New" w:hAnsi="Courier New" w:cs="Courier New"/>
        </w:rPr>
        <w:t>, consolidou o entendimento de que a obrigação de garantir a inclusão se sobrepõe a questões de organização administrativa, sendo dever do Estado fornecer o apoio necessário</w:t>
      </w:r>
      <w:r>
        <w:rPr>
          <w:rFonts w:ascii="Courier New" w:hAnsi="Courier New" w:cs="Courier New"/>
        </w:rPr>
        <w:t>:</w:t>
      </w:r>
    </w:p>
    <w:p w:rsidR="003E5E0F" w:rsidP="003E5E0F" w14:paraId="7A326671" w14:textId="77777777">
      <w:pPr>
        <w:spacing w:before="120" w:after="120" w:line="360" w:lineRule="auto"/>
        <w:ind w:firstLine="567"/>
        <w:jc w:val="both"/>
        <w:rPr>
          <w:rFonts w:ascii="Courier New" w:hAnsi="Courier New" w:cs="Courier New"/>
        </w:rPr>
      </w:pPr>
    </w:p>
    <w:p w:rsidR="003E5E0F" w:rsidRPr="003E5E0F" w:rsidP="003E5E0F" w14:paraId="1C2F09E6" w14:textId="2ED8DCAC">
      <w:pPr>
        <w:pBdr>
          <w:left w:val="single" w:sz="4" w:space="4" w:color="auto"/>
          <w:right w:val="single" w:sz="4" w:space="4" w:color="auto"/>
        </w:pBdr>
        <w:ind w:left="2268"/>
        <w:jc w:val="both"/>
        <w:rPr>
          <w:rFonts w:ascii="Courier New" w:hAnsi="Courier New" w:cs="Courier New"/>
          <w:sz w:val="20"/>
          <w:szCs w:val="20"/>
        </w:rPr>
      </w:pPr>
      <w:r w:rsidRPr="003E5E0F">
        <w:rPr>
          <w:rFonts w:ascii="Courier New" w:hAnsi="Courier New" w:cs="Courier New"/>
          <w:sz w:val="20"/>
          <w:szCs w:val="20"/>
        </w:rPr>
        <w:t>RECURSO ESPECIAL - EMBARGOS À MONITÓRIA - TERMO INICIAL DOS JUROS DE MORA DO CHEQUE NÃO APRESENTADO PARA A COMPENSAÇÃO JUNTO AO BANCO SACADO - INSURGÊNCIA RECURSAL DO EMBARGANTE. 1. Segundo entendimento do STJ, em regra, o peticionamento nos autos por advogado destituído de poderes especiais para receber citação não configura comparecimento espontâneo apto a suprir a sua necessidade. Precedentes. 1.1 Aplicando-se ao caso o princípio da instrumentalidade das formas sob o enfoque de que "não há nulidade sem prejuízo" (</w:t>
      </w:r>
      <w:r w:rsidRPr="003E5E0F">
        <w:rPr>
          <w:rFonts w:ascii="Courier New" w:hAnsi="Courier New" w:cs="Courier New"/>
          <w:sz w:val="20"/>
          <w:szCs w:val="20"/>
        </w:rPr>
        <w:t>pas</w:t>
      </w:r>
      <w:r w:rsidRPr="003E5E0F">
        <w:rPr>
          <w:rFonts w:ascii="Courier New" w:hAnsi="Courier New" w:cs="Courier New"/>
          <w:sz w:val="20"/>
          <w:szCs w:val="20"/>
        </w:rPr>
        <w:t xml:space="preserve"> de </w:t>
      </w:r>
      <w:r w:rsidRPr="003E5E0F">
        <w:rPr>
          <w:rFonts w:ascii="Courier New" w:hAnsi="Courier New" w:cs="Courier New"/>
          <w:sz w:val="20"/>
          <w:szCs w:val="20"/>
        </w:rPr>
        <w:t>nullité</w:t>
      </w:r>
      <w:r w:rsidRPr="003E5E0F">
        <w:rPr>
          <w:rFonts w:ascii="Courier New" w:hAnsi="Courier New" w:cs="Courier New"/>
          <w:sz w:val="20"/>
          <w:szCs w:val="20"/>
        </w:rPr>
        <w:t xml:space="preserve"> </w:t>
      </w:r>
      <w:r w:rsidRPr="003E5E0F">
        <w:rPr>
          <w:rFonts w:ascii="Courier New" w:hAnsi="Courier New" w:cs="Courier New"/>
          <w:sz w:val="20"/>
          <w:szCs w:val="20"/>
        </w:rPr>
        <w:t>sans</w:t>
      </w:r>
      <w:r w:rsidRPr="003E5E0F">
        <w:rPr>
          <w:rFonts w:ascii="Courier New" w:hAnsi="Courier New" w:cs="Courier New"/>
          <w:sz w:val="20"/>
          <w:szCs w:val="20"/>
        </w:rPr>
        <w:t xml:space="preserve"> </w:t>
      </w:r>
      <w:r w:rsidRPr="003E5E0F">
        <w:rPr>
          <w:rFonts w:ascii="Courier New" w:hAnsi="Courier New" w:cs="Courier New"/>
          <w:sz w:val="20"/>
          <w:szCs w:val="20"/>
        </w:rPr>
        <w:t>grief</w:t>
      </w:r>
      <w:r w:rsidRPr="003E5E0F">
        <w:rPr>
          <w:rFonts w:ascii="Courier New" w:hAnsi="Courier New" w:cs="Courier New"/>
          <w:sz w:val="20"/>
          <w:szCs w:val="20"/>
        </w:rPr>
        <w:t>), e considerando, ainda, ter havido a citação da parte e de terem sido os embargos à monitória julgados no mérito, não deve o feito retornar à origem para eventual repetição de atos, pois todas as matérias arguidas na peça de defesa/ação impugnativa foram efetivamente analisadas e levadas em consideração quando do julgamento da controvérsia decorrente do conflito estabelecido entre as partes contendoras. . 2. Em consonância ao entendimento firmado no Recurso Repetitivo nº 1.556.834/SP, no novo pronunciamento da Corte Especial no que concerne à mora do devedor e seus consectários (</w:t>
      </w:r>
      <w:r w:rsidRPr="003E5E0F">
        <w:rPr>
          <w:rFonts w:ascii="Courier New" w:hAnsi="Courier New" w:cs="Courier New"/>
          <w:sz w:val="20"/>
          <w:szCs w:val="20"/>
        </w:rPr>
        <w:t>EAREsp</w:t>
      </w:r>
      <w:r w:rsidRPr="003E5E0F">
        <w:rPr>
          <w:rFonts w:ascii="Courier New" w:hAnsi="Courier New" w:cs="Courier New"/>
          <w:sz w:val="20"/>
          <w:szCs w:val="20"/>
        </w:rPr>
        <w:t xml:space="preserve"> 502.132/RS), com base no regramento especial da Lei nº 7.357/85, a melhor interpretação a ser dada quando o cheque não for apresentado à instituição financeira sacada para a respectiva compensação, é aquela que reconhece o termo inicial dos juros de mora a partir do primeiro ato do credor no sentido de satisfazer o seu crédito, o que pode se dar pela apresentação, protesto, notificação extrajudicial, ou, como no caso concreto, pela citação (art. 219 do CPC/73 correspondente ao art. 240 do CPC/15). 3. Recurso especial provido.</w:t>
      </w:r>
      <w:r>
        <w:rPr>
          <w:rFonts w:ascii="Courier New" w:hAnsi="Courier New" w:cs="Courier New"/>
          <w:sz w:val="20"/>
          <w:szCs w:val="20"/>
        </w:rPr>
        <w:t xml:space="preserve"> </w:t>
      </w:r>
      <w:r w:rsidRPr="003E5E0F">
        <w:rPr>
          <w:rFonts w:ascii="Courier New" w:hAnsi="Courier New" w:cs="Courier New"/>
          <w:sz w:val="20"/>
          <w:szCs w:val="20"/>
        </w:rPr>
        <w:t>(</w:t>
      </w:r>
      <w:r w:rsidRPr="003E5E0F">
        <w:rPr>
          <w:rFonts w:ascii="Courier New" w:hAnsi="Courier New" w:cs="Courier New"/>
          <w:b/>
          <w:bCs/>
          <w:sz w:val="20"/>
          <w:szCs w:val="20"/>
        </w:rPr>
        <w:t>STJ</w:t>
      </w:r>
      <w:r w:rsidRPr="003E5E0F">
        <w:rPr>
          <w:rFonts w:ascii="Courier New" w:hAnsi="Courier New" w:cs="Courier New"/>
          <w:sz w:val="20"/>
          <w:szCs w:val="20"/>
        </w:rPr>
        <w:t xml:space="preserve"> - REsp: 1768022 MG 2018/0243790-8, Relator: Ministro MARCO </w:t>
      </w:r>
      <w:r w:rsidRPr="003E5E0F">
        <w:rPr>
          <w:rFonts w:ascii="Courier New" w:hAnsi="Courier New" w:cs="Courier New"/>
          <w:sz w:val="20"/>
          <w:szCs w:val="20"/>
        </w:rPr>
        <w:t>BUZZI</w:t>
      </w:r>
      <w:r w:rsidRPr="003E5E0F">
        <w:rPr>
          <w:rFonts w:ascii="Courier New" w:hAnsi="Courier New" w:cs="Courier New"/>
          <w:sz w:val="20"/>
          <w:szCs w:val="20"/>
        </w:rPr>
        <w:t xml:space="preserve">, Data de Julgamento: 17/08/2021, T4 - QUARTA TURMA, Data de Publicação: </w:t>
      </w:r>
      <w:r w:rsidRPr="003E5E0F">
        <w:rPr>
          <w:rFonts w:ascii="Courier New" w:hAnsi="Courier New" w:cs="Courier New"/>
          <w:sz w:val="20"/>
          <w:szCs w:val="20"/>
        </w:rPr>
        <w:t>DJe</w:t>
      </w:r>
      <w:r w:rsidRPr="003E5E0F">
        <w:rPr>
          <w:rFonts w:ascii="Courier New" w:hAnsi="Courier New" w:cs="Courier New"/>
          <w:sz w:val="20"/>
          <w:szCs w:val="20"/>
        </w:rPr>
        <w:t xml:space="preserve"> 25/08/2021)</w:t>
      </w:r>
    </w:p>
    <w:p w:rsidR="003E5E0F" w:rsidP="003E5E0F" w14:paraId="25454FE6" w14:textId="77777777">
      <w:pPr>
        <w:spacing w:before="120" w:after="120" w:line="360" w:lineRule="auto"/>
        <w:ind w:firstLine="567"/>
        <w:jc w:val="both"/>
        <w:rPr>
          <w:rFonts w:ascii="Courier New" w:hAnsi="Courier New" w:cs="Courier New"/>
        </w:rPr>
      </w:pPr>
    </w:p>
    <w:p w:rsidR="003E5E0F" w:rsidP="003E5E0F" w14:paraId="45BE794E" w14:textId="2DA7A8D9">
      <w:pPr>
        <w:spacing w:before="120" w:after="120" w:line="360" w:lineRule="auto"/>
        <w:ind w:firstLine="567"/>
        <w:jc w:val="both"/>
        <w:rPr>
          <w:rFonts w:ascii="Courier New" w:hAnsi="Courier New" w:cs="Courier New"/>
        </w:rPr>
      </w:pPr>
      <w:r w:rsidRPr="003E5E0F">
        <w:rPr>
          <w:rFonts w:ascii="Courier New" w:hAnsi="Courier New" w:cs="Courier New"/>
        </w:rPr>
        <w:t>Ademais, quanto à viabilidade legislativa, cumpre invocar o Tema 917 da Repercussão Geral do Supremo Tribunal Federal, o qual fixa que leis de iniciativa parlamentar que criam despesas para a administração não padecem de vício de iniciativa quando visam garantir direitos previstos na Constituição</w:t>
      </w:r>
      <w:r w:rsidR="009E32BE">
        <w:rPr>
          <w:rFonts w:ascii="Courier New" w:hAnsi="Courier New" w:cs="Courier New"/>
        </w:rPr>
        <w:t>:</w:t>
      </w:r>
    </w:p>
    <w:p w:rsidR="009E32BE" w:rsidP="003E5E0F" w14:paraId="2E3DC649" w14:textId="77777777">
      <w:pPr>
        <w:spacing w:before="120" w:after="120" w:line="360" w:lineRule="auto"/>
        <w:ind w:firstLine="567"/>
        <w:jc w:val="both"/>
        <w:rPr>
          <w:rFonts w:ascii="Courier New" w:hAnsi="Courier New" w:cs="Courier New"/>
        </w:rPr>
      </w:pPr>
    </w:p>
    <w:p w:rsidR="009E32BE" w:rsidRPr="003E5E0F" w:rsidP="009E32BE" w14:paraId="3A97D4B4" w14:textId="0BC92223">
      <w:pPr>
        <w:pBdr>
          <w:left w:val="single" w:sz="4" w:space="4" w:color="auto"/>
          <w:right w:val="single" w:sz="4" w:space="4" w:color="auto"/>
        </w:pBdr>
        <w:ind w:left="2268"/>
        <w:jc w:val="both"/>
        <w:rPr>
          <w:rFonts w:ascii="Courier New" w:hAnsi="Courier New" w:cs="Courier New"/>
          <w:sz w:val="20"/>
          <w:szCs w:val="20"/>
        </w:rPr>
      </w:pPr>
      <w:r w:rsidRPr="009E32BE">
        <w:rPr>
          <w:rFonts w:ascii="Courier New" w:hAnsi="Courier New" w:cs="Courier New"/>
          <w:sz w:val="20"/>
          <w:szCs w:val="20"/>
        </w:rPr>
        <w:t xml:space="preserve">Recurso extraordinário com agravo. Repercussão geral. 2. Ação Direta de Inconstitucionalidade estadual. Lei 5.616/2013, do Município do Rio de Janeiro. Instalação de câmeras de monitoramento em escolas e cercanias. 3. Inconstitucionalidade formal. Vício de iniciativa. Competência privativa do Poder Executivo municipal. Não ocorrência. Não usurpa a competência privativa do chefe do Poder Executivo lei que, embora crie despesa para a Administração Pública, não trata da sua estrutura ou da </w:t>
      </w:r>
      <w:r w:rsidRPr="009E32BE">
        <w:rPr>
          <w:rFonts w:ascii="Courier New" w:hAnsi="Courier New" w:cs="Courier New"/>
          <w:sz w:val="20"/>
          <w:szCs w:val="20"/>
        </w:rPr>
        <w:t>atribuição de seus órgãos nem do regime jurídico de servidores públicos. 4. Repercussão geral reconhecida com reafirmação da jurisprudência desta Corte. 5. Recurso extraordinário provido.</w:t>
      </w:r>
      <w:r>
        <w:rPr>
          <w:rFonts w:ascii="Courier New" w:hAnsi="Courier New" w:cs="Courier New"/>
          <w:sz w:val="20"/>
          <w:szCs w:val="20"/>
        </w:rPr>
        <w:t xml:space="preserve"> </w:t>
      </w:r>
      <w:r w:rsidRPr="009E32BE">
        <w:rPr>
          <w:rFonts w:ascii="Courier New" w:hAnsi="Courier New" w:cs="Courier New"/>
          <w:sz w:val="20"/>
          <w:szCs w:val="20"/>
        </w:rPr>
        <w:t>(</w:t>
      </w:r>
      <w:r w:rsidRPr="009E32BE">
        <w:rPr>
          <w:rFonts w:ascii="Courier New" w:hAnsi="Courier New" w:cs="Courier New"/>
          <w:b/>
          <w:bCs/>
          <w:sz w:val="20"/>
          <w:szCs w:val="20"/>
        </w:rPr>
        <w:t>STF</w:t>
      </w:r>
      <w:r w:rsidRPr="009E32BE">
        <w:rPr>
          <w:rFonts w:ascii="Courier New" w:hAnsi="Courier New" w:cs="Courier New"/>
          <w:sz w:val="20"/>
          <w:szCs w:val="20"/>
        </w:rPr>
        <w:t xml:space="preserve"> - ARE: 878911 RJ, Relator: GILMAR MENDES, Data de Julgamento: 29/09/2016, Tribunal Pleno, Data de Publicação: 11/10/2016)</w:t>
      </w:r>
    </w:p>
    <w:p w:rsidR="009E32BE" w:rsidP="003E5E0F" w14:paraId="0A440F56" w14:textId="77777777">
      <w:pPr>
        <w:spacing w:before="120" w:after="120" w:line="360" w:lineRule="auto"/>
        <w:ind w:firstLine="567"/>
        <w:jc w:val="both"/>
        <w:rPr>
          <w:rFonts w:ascii="Courier New" w:hAnsi="Courier New" w:cs="Courier New"/>
        </w:rPr>
      </w:pPr>
    </w:p>
    <w:p w:rsidR="003E5E0F" w:rsidRPr="003E5E0F" w:rsidP="003E5E0F" w14:paraId="00BDED56" w14:textId="669037ED">
      <w:pPr>
        <w:spacing w:before="120" w:after="120" w:line="360" w:lineRule="auto"/>
        <w:ind w:firstLine="567"/>
        <w:jc w:val="both"/>
        <w:rPr>
          <w:rFonts w:ascii="Courier New" w:hAnsi="Courier New" w:cs="Courier New"/>
        </w:rPr>
      </w:pPr>
      <w:r w:rsidRPr="003E5E0F">
        <w:rPr>
          <w:rFonts w:ascii="Courier New" w:hAnsi="Courier New" w:cs="Courier New"/>
        </w:rPr>
        <w:t>Portanto, a alteração ora proposta transmuda a faculdade administrativa em obrigação vinculada, restaurando a Igualdade Material no seio deste programa.</w:t>
      </w:r>
    </w:p>
    <w:sectPr w:rsidSect="006F4BC5">
      <w:headerReference w:type="default" r:id="rId6"/>
      <w:footerReference w:type="default" r:id="rId7"/>
      <w:pgSz w:w="11906" w:h="16838"/>
      <w:pgMar w:top="1985" w:right="1134" w:bottom="1134"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90942106"/>
      <w:docPartObj>
        <w:docPartGallery w:val="Page Numbers (Bottom of Page)"/>
        <w:docPartUnique/>
      </w:docPartObj>
    </w:sdtPr>
    <w:sdtEndPr>
      <w:rPr>
        <w:rFonts w:ascii="Courier New" w:hAnsi="Courier New" w:cs="Courier New"/>
        <w:sz w:val="20"/>
        <w:szCs w:val="20"/>
      </w:rPr>
    </w:sdtEndPr>
    <w:sdtContent>
      <w:sdt>
        <w:sdtPr>
          <w:id w:val="-1769616900"/>
          <w:docPartObj>
            <w:docPartGallery w:val="Page Numbers (Top of Page)"/>
            <w:docPartUnique/>
          </w:docPartObj>
        </w:sdtPr>
        <w:sdtEndPr>
          <w:rPr>
            <w:rFonts w:ascii="Courier New" w:hAnsi="Courier New" w:cs="Courier New"/>
            <w:sz w:val="20"/>
            <w:szCs w:val="20"/>
          </w:rPr>
        </w:sdtEndPr>
        <w:sdtContent>
          <w:p w:rsidR="000E3FEE" w:rsidRPr="000E3FEE" w14:paraId="1FE158F6" w14:textId="209C1FAB">
            <w:pPr>
              <w:pStyle w:val="Footer"/>
              <w:jc w:val="right"/>
              <w:rPr>
                <w:rFonts w:ascii="Courier New" w:hAnsi="Courier New" w:cs="Courier New"/>
                <w:sz w:val="20"/>
                <w:szCs w:val="20"/>
              </w:rPr>
            </w:pPr>
            <w:r w:rsidRPr="000E3FEE">
              <w:rPr>
                <w:rFonts w:ascii="Courier New" w:hAnsi="Courier New" w:cs="Courier New"/>
                <w:sz w:val="20"/>
                <w:szCs w:val="20"/>
              </w:rPr>
              <w:t xml:space="preserve">Página </w:t>
            </w:r>
            <w:r w:rsidRPr="000E3FEE">
              <w:rPr>
                <w:rFonts w:ascii="Courier New" w:hAnsi="Courier New" w:cs="Courier New"/>
                <w:b/>
                <w:bCs/>
                <w:sz w:val="20"/>
                <w:szCs w:val="20"/>
              </w:rPr>
              <w:fldChar w:fldCharType="begin"/>
            </w:r>
            <w:r w:rsidRPr="000E3FEE">
              <w:rPr>
                <w:rFonts w:ascii="Courier New" w:hAnsi="Courier New" w:cs="Courier New"/>
                <w:b/>
                <w:bCs/>
                <w:sz w:val="20"/>
                <w:szCs w:val="20"/>
              </w:rPr>
              <w:instrText>PAGE</w:instrText>
            </w:r>
            <w:r w:rsidRPr="000E3FEE">
              <w:rPr>
                <w:rFonts w:ascii="Courier New" w:hAnsi="Courier New" w:cs="Courier New"/>
                <w:b/>
                <w:bCs/>
                <w:sz w:val="20"/>
                <w:szCs w:val="20"/>
              </w:rPr>
              <w:fldChar w:fldCharType="separate"/>
            </w:r>
            <w:r w:rsidRPr="000E3FEE">
              <w:rPr>
                <w:rFonts w:ascii="Courier New" w:hAnsi="Courier New" w:cs="Courier New"/>
                <w:b/>
                <w:bCs/>
                <w:sz w:val="20"/>
                <w:szCs w:val="20"/>
              </w:rPr>
              <w:t>6</w:t>
            </w:r>
            <w:r w:rsidRPr="000E3FEE">
              <w:rPr>
                <w:rFonts w:ascii="Courier New" w:hAnsi="Courier New" w:cs="Courier New"/>
                <w:b/>
                <w:bCs/>
                <w:sz w:val="20"/>
                <w:szCs w:val="20"/>
              </w:rPr>
              <w:fldChar w:fldCharType="end"/>
            </w:r>
            <w:r w:rsidRPr="000E3FEE">
              <w:rPr>
                <w:rFonts w:ascii="Courier New" w:hAnsi="Courier New" w:cs="Courier New"/>
                <w:sz w:val="20"/>
                <w:szCs w:val="20"/>
              </w:rPr>
              <w:t xml:space="preserve"> de </w:t>
            </w:r>
            <w:r w:rsidRPr="000E3FEE">
              <w:rPr>
                <w:rFonts w:ascii="Courier New" w:hAnsi="Courier New" w:cs="Courier New"/>
                <w:b/>
                <w:bCs/>
                <w:sz w:val="20"/>
                <w:szCs w:val="20"/>
              </w:rPr>
              <w:fldChar w:fldCharType="begin"/>
            </w:r>
            <w:r w:rsidRPr="000E3FEE">
              <w:rPr>
                <w:rFonts w:ascii="Courier New" w:hAnsi="Courier New" w:cs="Courier New"/>
                <w:b/>
                <w:bCs/>
                <w:sz w:val="20"/>
                <w:szCs w:val="20"/>
              </w:rPr>
              <w:instrText>NUMPAGES</w:instrText>
            </w:r>
            <w:r w:rsidRPr="000E3FEE">
              <w:rPr>
                <w:rFonts w:ascii="Courier New" w:hAnsi="Courier New" w:cs="Courier New"/>
                <w:b/>
                <w:bCs/>
                <w:sz w:val="20"/>
                <w:szCs w:val="20"/>
              </w:rPr>
              <w:fldChar w:fldCharType="separate"/>
            </w:r>
            <w:r w:rsidRPr="000E3FEE">
              <w:rPr>
                <w:rFonts w:ascii="Courier New" w:hAnsi="Courier New" w:cs="Courier New"/>
                <w:b/>
                <w:bCs/>
                <w:sz w:val="20"/>
                <w:szCs w:val="20"/>
              </w:rPr>
              <w:t>6</w:t>
            </w:r>
            <w:r w:rsidRPr="000E3FEE">
              <w:rPr>
                <w:rFonts w:ascii="Courier New" w:hAnsi="Courier New" w:cs="Courier New"/>
                <w:b/>
                <w:bCs/>
                <w:sz w:val="20"/>
                <w:szCs w:val="20"/>
              </w:rPr>
              <w:fldChar w:fldCharType="end"/>
            </w:r>
          </w:p>
        </w:sdtContent>
      </w:sdt>
    </w:sdtContent>
  </w:sdt>
  <w:p w:rsidR="000E3FEE" w:rsidP="000E3FEE" w14:paraId="7680C515" w14:textId="77777777">
    <w:pPr>
      <w:pStyle w:val="Footer"/>
      <w:tabs>
        <w:tab w:val="clear" w:pos="4252"/>
        <w:tab w:val="clear" w:pos="8504"/>
      </w:tabs>
      <w:rPr>
        <w:rFonts w:ascii="Courier New" w:hAnsi="Courier New" w:cs="Courier New"/>
        <w:sz w:val="18"/>
        <w:szCs w:val="18"/>
      </w:rPr>
    </w:pPr>
    <w:r w:rsidRPr="007256BA">
      <w:rPr>
        <w:rFonts w:ascii="Courier New" w:hAnsi="Courier New" w:cs="Courier New"/>
        <w:sz w:val="18"/>
        <w:szCs w:val="18"/>
      </w:rPr>
      <w:t>Rua Dr. Jose Alves, nº 129, centro, Mogi Mirim/SP</w:t>
    </w:r>
  </w:p>
  <w:p w:rsidR="000E3FEE" w:rsidRPr="007256BA" w:rsidP="000E3FEE" w14:paraId="04315374" w14:textId="0110A46E">
    <w:pPr>
      <w:pStyle w:val="Footer"/>
      <w:tabs>
        <w:tab w:val="clear" w:pos="4252"/>
        <w:tab w:val="clear" w:pos="8504"/>
      </w:tabs>
      <w:rPr>
        <w:rFonts w:ascii="Courier New" w:hAnsi="Courier New" w:cs="Courier New"/>
        <w:sz w:val="18"/>
        <w:szCs w:val="18"/>
      </w:rPr>
    </w:pPr>
    <w:r w:rsidRPr="007256BA">
      <w:rPr>
        <w:rFonts w:ascii="Courier New" w:hAnsi="Courier New" w:cs="Courier New"/>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rsidRPr="007256BA" w:rsidP="006F4BC5" w14:paraId="6ABFBAB7" w14:textId="5F87F895">
    <w:pPr>
      <w:pStyle w:val="Header"/>
      <w:tabs>
        <w:tab w:val="clear" w:pos="4252"/>
        <w:tab w:val="clear" w:pos="8504"/>
      </w:tabs>
      <w:ind w:left="1276"/>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109855</wp:posOffset>
          </wp:positionH>
          <wp:positionV relativeFrom="paragraph">
            <wp:posOffset>-171450</wp:posOffset>
          </wp:positionV>
          <wp:extent cx="1036320" cy="754380"/>
          <wp:effectExtent l="0" t="0" r="0" b="762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anchor>
      </w:drawing>
    </w:r>
    <w:r w:rsidRPr="007256BA">
      <w:rPr>
        <w:rFonts w:ascii="Courier New" w:hAnsi="Courier New" w:cs="Courier New"/>
        <w:b/>
        <w:sz w:val="34"/>
      </w:rPr>
      <w:t>CÂMARA MUNICIPAL DE MOGI MIRIM</w:t>
    </w:r>
  </w:p>
  <w:p w:rsidR="0057381F" w:rsidRPr="0057381F" w:rsidP="006F4BC5" w14:paraId="474ADD54" w14:textId="6F192889">
    <w:pPr>
      <w:pStyle w:val="Header"/>
      <w:tabs>
        <w:tab w:val="clear" w:pos="4252"/>
        <w:tab w:val="clear" w:pos="8504"/>
      </w:tabs>
      <w:ind w:left="1276"/>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E74B68"/>
    <w:multiLevelType w:val="hybridMultilevel"/>
    <w:tmpl w:val="FF90CCCA"/>
    <w:lvl w:ilvl="0">
      <w:start w:val="1"/>
      <w:numFmt w:val="upperRoman"/>
      <w:lvlText w:val="%1."/>
      <w:lvlJc w:val="right"/>
      <w:pPr>
        <w:ind w:left="720" w:hanging="360"/>
      </w:pPr>
      <w:rPr>
        <w:b/>
        <w:bCs/>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4A4E26"/>
    <w:multiLevelType w:val="hybridMultilevel"/>
    <w:tmpl w:val="BF2E00F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2CF91B4B"/>
    <w:multiLevelType w:val="multilevel"/>
    <w:tmpl w:val="73BA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523238"/>
    <w:multiLevelType w:val="multilevel"/>
    <w:tmpl w:val="8AB4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7B4A34"/>
    <w:multiLevelType w:val="hybridMultilevel"/>
    <w:tmpl w:val="FC0E5CDA"/>
    <w:lvl w:ilvl="0">
      <w:start w:val="1"/>
      <w:numFmt w:val="upperRoman"/>
      <w:lvlText w:val="%1."/>
      <w:lvlJc w:val="left"/>
      <w:pPr>
        <w:ind w:left="1080" w:hanging="720"/>
      </w:pPr>
      <w:rPr>
        <w:rFonts w:hint="default"/>
        <w:b/>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5EA605F"/>
    <w:multiLevelType w:val="multilevel"/>
    <w:tmpl w:val="F41E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055EA1"/>
    <w:multiLevelType w:val="hybridMultilevel"/>
    <w:tmpl w:val="0406AD94"/>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7">
    <w:nsid w:val="522B0BF6"/>
    <w:multiLevelType w:val="multilevel"/>
    <w:tmpl w:val="2548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2D743B"/>
    <w:multiLevelType w:val="multilevel"/>
    <w:tmpl w:val="8D6E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6"/>
  </w:num>
  <w:num w:numId="6">
    <w:abstractNumId w:val="7"/>
  </w:num>
  <w:num w:numId="7">
    <w:abstractNumId w:val="8"/>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02FFF"/>
    <w:rsid w:val="00004C95"/>
    <w:rsid w:val="00023049"/>
    <w:rsid w:val="00031283"/>
    <w:rsid w:val="000421FA"/>
    <w:rsid w:val="000703D1"/>
    <w:rsid w:val="00090835"/>
    <w:rsid w:val="000A07E1"/>
    <w:rsid w:val="000A70D0"/>
    <w:rsid w:val="000C21DC"/>
    <w:rsid w:val="000C4F9D"/>
    <w:rsid w:val="000D3816"/>
    <w:rsid w:val="000E19EC"/>
    <w:rsid w:val="000E2239"/>
    <w:rsid w:val="000E3FEE"/>
    <w:rsid w:val="00100381"/>
    <w:rsid w:val="00105967"/>
    <w:rsid w:val="0011792B"/>
    <w:rsid w:val="00120BB5"/>
    <w:rsid w:val="001536DE"/>
    <w:rsid w:val="00157C20"/>
    <w:rsid w:val="001915A3"/>
    <w:rsid w:val="001A2496"/>
    <w:rsid w:val="001A2AB0"/>
    <w:rsid w:val="001A73C9"/>
    <w:rsid w:val="001A73F6"/>
    <w:rsid w:val="001B334F"/>
    <w:rsid w:val="001B5DF1"/>
    <w:rsid w:val="001C2EDB"/>
    <w:rsid w:val="001D5D07"/>
    <w:rsid w:val="001E7598"/>
    <w:rsid w:val="001F178F"/>
    <w:rsid w:val="001F73D7"/>
    <w:rsid w:val="00200886"/>
    <w:rsid w:val="00214126"/>
    <w:rsid w:val="002167D0"/>
    <w:rsid w:val="00217F62"/>
    <w:rsid w:val="00220FF3"/>
    <w:rsid w:val="00221A63"/>
    <w:rsid w:val="00244940"/>
    <w:rsid w:val="0025004F"/>
    <w:rsid w:val="00251F14"/>
    <w:rsid w:val="0025595B"/>
    <w:rsid w:val="002575B7"/>
    <w:rsid w:val="00265037"/>
    <w:rsid w:val="00266484"/>
    <w:rsid w:val="002800AF"/>
    <w:rsid w:val="002B4B31"/>
    <w:rsid w:val="002D2685"/>
    <w:rsid w:val="002F23A7"/>
    <w:rsid w:val="002F2E8D"/>
    <w:rsid w:val="002F3DFE"/>
    <w:rsid w:val="002F4F02"/>
    <w:rsid w:val="00301359"/>
    <w:rsid w:val="0030701D"/>
    <w:rsid w:val="003074DC"/>
    <w:rsid w:val="00323CA8"/>
    <w:rsid w:val="003370C3"/>
    <w:rsid w:val="00352BBA"/>
    <w:rsid w:val="0037287D"/>
    <w:rsid w:val="00382C5B"/>
    <w:rsid w:val="003A0FD7"/>
    <w:rsid w:val="003A19CC"/>
    <w:rsid w:val="003A484B"/>
    <w:rsid w:val="003D47DC"/>
    <w:rsid w:val="003D4A8E"/>
    <w:rsid w:val="003D51AC"/>
    <w:rsid w:val="003E04B5"/>
    <w:rsid w:val="003E5E0F"/>
    <w:rsid w:val="003F6F42"/>
    <w:rsid w:val="003F7CC3"/>
    <w:rsid w:val="00405859"/>
    <w:rsid w:val="004146F8"/>
    <w:rsid w:val="00415159"/>
    <w:rsid w:val="00424CF2"/>
    <w:rsid w:val="0042728E"/>
    <w:rsid w:val="00430D0C"/>
    <w:rsid w:val="00441401"/>
    <w:rsid w:val="00446FED"/>
    <w:rsid w:val="004513CB"/>
    <w:rsid w:val="004610B1"/>
    <w:rsid w:val="00465D8F"/>
    <w:rsid w:val="00473091"/>
    <w:rsid w:val="00482EA4"/>
    <w:rsid w:val="00487E4F"/>
    <w:rsid w:val="00496629"/>
    <w:rsid w:val="004A3FBC"/>
    <w:rsid w:val="004A5220"/>
    <w:rsid w:val="004B027A"/>
    <w:rsid w:val="004C3D72"/>
    <w:rsid w:val="004C716F"/>
    <w:rsid w:val="004D1B0C"/>
    <w:rsid w:val="004F1F2F"/>
    <w:rsid w:val="00504C91"/>
    <w:rsid w:val="00516E4A"/>
    <w:rsid w:val="005276DC"/>
    <w:rsid w:val="00567B59"/>
    <w:rsid w:val="0057381F"/>
    <w:rsid w:val="00583430"/>
    <w:rsid w:val="00594AEB"/>
    <w:rsid w:val="00595899"/>
    <w:rsid w:val="00596358"/>
    <w:rsid w:val="005A29C0"/>
    <w:rsid w:val="005A66EE"/>
    <w:rsid w:val="005A7A11"/>
    <w:rsid w:val="005C4E40"/>
    <w:rsid w:val="005C7EA4"/>
    <w:rsid w:val="005D3F61"/>
    <w:rsid w:val="005E6E2D"/>
    <w:rsid w:val="005F47CF"/>
    <w:rsid w:val="00604E8B"/>
    <w:rsid w:val="006057BE"/>
    <w:rsid w:val="00617D7D"/>
    <w:rsid w:val="00621133"/>
    <w:rsid w:val="00632DF6"/>
    <w:rsid w:val="00640213"/>
    <w:rsid w:val="00650210"/>
    <w:rsid w:val="006527A9"/>
    <w:rsid w:val="00654C95"/>
    <w:rsid w:val="006622E5"/>
    <w:rsid w:val="00663F95"/>
    <w:rsid w:val="006717AD"/>
    <w:rsid w:val="00672640"/>
    <w:rsid w:val="00681FD9"/>
    <w:rsid w:val="006907CC"/>
    <w:rsid w:val="006A4085"/>
    <w:rsid w:val="006A7F69"/>
    <w:rsid w:val="006B67D9"/>
    <w:rsid w:val="006B79C1"/>
    <w:rsid w:val="006D1C8B"/>
    <w:rsid w:val="006E0D88"/>
    <w:rsid w:val="006E30EE"/>
    <w:rsid w:val="006F4BC5"/>
    <w:rsid w:val="006F6186"/>
    <w:rsid w:val="007055A6"/>
    <w:rsid w:val="007120E5"/>
    <w:rsid w:val="00721F76"/>
    <w:rsid w:val="007256BA"/>
    <w:rsid w:val="007809AF"/>
    <w:rsid w:val="00793383"/>
    <w:rsid w:val="007A4112"/>
    <w:rsid w:val="007B6A5F"/>
    <w:rsid w:val="007C10C3"/>
    <w:rsid w:val="007C1937"/>
    <w:rsid w:val="007D4A00"/>
    <w:rsid w:val="007F452D"/>
    <w:rsid w:val="007F58FD"/>
    <w:rsid w:val="007F67D4"/>
    <w:rsid w:val="008079A0"/>
    <w:rsid w:val="00822C2F"/>
    <w:rsid w:val="00825C83"/>
    <w:rsid w:val="00833EAC"/>
    <w:rsid w:val="008403EA"/>
    <w:rsid w:val="00857231"/>
    <w:rsid w:val="00865FD2"/>
    <w:rsid w:val="00867138"/>
    <w:rsid w:val="008714B3"/>
    <w:rsid w:val="00875D97"/>
    <w:rsid w:val="008867EC"/>
    <w:rsid w:val="00890664"/>
    <w:rsid w:val="00894201"/>
    <w:rsid w:val="0089485B"/>
    <w:rsid w:val="00896562"/>
    <w:rsid w:val="008A216E"/>
    <w:rsid w:val="008A6999"/>
    <w:rsid w:val="008B362B"/>
    <w:rsid w:val="008B3AC0"/>
    <w:rsid w:val="008B6F44"/>
    <w:rsid w:val="008C0131"/>
    <w:rsid w:val="008D44CE"/>
    <w:rsid w:val="008D5E73"/>
    <w:rsid w:val="008E0D7F"/>
    <w:rsid w:val="008E144E"/>
    <w:rsid w:val="008E64D0"/>
    <w:rsid w:val="008F20CC"/>
    <w:rsid w:val="009003F2"/>
    <w:rsid w:val="00905C46"/>
    <w:rsid w:val="00920C58"/>
    <w:rsid w:val="00926AE9"/>
    <w:rsid w:val="00930895"/>
    <w:rsid w:val="0096605B"/>
    <w:rsid w:val="00975B6A"/>
    <w:rsid w:val="00975EAD"/>
    <w:rsid w:val="009825E2"/>
    <w:rsid w:val="00982996"/>
    <w:rsid w:val="00996BD3"/>
    <w:rsid w:val="009A0EF9"/>
    <w:rsid w:val="009A3DEB"/>
    <w:rsid w:val="009A65E0"/>
    <w:rsid w:val="009B255B"/>
    <w:rsid w:val="009B2D4F"/>
    <w:rsid w:val="009D30B3"/>
    <w:rsid w:val="009D469E"/>
    <w:rsid w:val="009D5B0A"/>
    <w:rsid w:val="009E32BE"/>
    <w:rsid w:val="009E395E"/>
    <w:rsid w:val="009F102D"/>
    <w:rsid w:val="009F1131"/>
    <w:rsid w:val="009F1253"/>
    <w:rsid w:val="009F2951"/>
    <w:rsid w:val="00A01A7C"/>
    <w:rsid w:val="00A106A0"/>
    <w:rsid w:val="00A10812"/>
    <w:rsid w:val="00A25264"/>
    <w:rsid w:val="00A259AA"/>
    <w:rsid w:val="00A33B5B"/>
    <w:rsid w:val="00A35653"/>
    <w:rsid w:val="00A56A8E"/>
    <w:rsid w:val="00A60081"/>
    <w:rsid w:val="00A67537"/>
    <w:rsid w:val="00A70CD9"/>
    <w:rsid w:val="00A906D8"/>
    <w:rsid w:val="00A92995"/>
    <w:rsid w:val="00A943C5"/>
    <w:rsid w:val="00A96F90"/>
    <w:rsid w:val="00AA448D"/>
    <w:rsid w:val="00AB5A74"/>
    <w:rsid w:val="00AB7855"/>
    <w:rsid w:val="00AC4924"/>
    <w:rsid w:val="00AD7B6B"/>
    <w:rsid w:val="00B04D1C"/>
    <w:rsid w:val="00B11892"/>
    <w:rsid w:val="00B318DF"/>
    <w:rsid w:val="00B360BC"/>
    <w:rsid w:val="00B416D2"/>
    <w:rsid w:val="00B4504C"/>
    <w:rsid w:val="00B54594"/>
    <w:rsid w:val="00B74677"/>
    <w:rsid w:val="00B80608"/>
    <w:rsid w:val="00B878A6"/>
    <w:rsid w:val="00B939E9"/>
    <w:rsid w:val="00B93F19"/>
    <w:rsid w:val="00BA4DF6"/>
    <w:rsid w:val="00BA52AC"/>
    <w:rsid w:val="00BB46F9"/>
    <w:rsid w:val="00BC06BF"/>
    <w:rsid w:val="00BC65F7"/>
    <w:rsid w:val="00BF43D6"/>
    <w:rsid w:val="00BF53DF"/>
    <w:rsid w:val="00BF574A"/>
    <w:rsid w:val="00C04B4D"/>
    <w:rsid w:val="00C061CE"/>
    <w:rsid w:val="00C14B17"/>
    <w:rsid w:val="00C315C8"/>
    <w:rsid w:val="00C335F4"/>
    <w:rsid w:val="00C36C4A"/>
    <w:rsid w:val="00C40DE6"/>
    <w:rsid w:val="00C41719"/>
    <w:rsid w:val="00C4695C"/>
    <w:rsid w:val="00C51134"/>
    <w:rsid w:val="00C5142B"/>
    <w:rsid w:val="00C67FDB"/>
    <w:rsid w:val="00C86865"/>
    <w:rsid w:val="00C871FD"/>
    <w:rsid w:val="00C9070D"/>
    <w:rsid w:val="00C969C4"/>
    <w:rsid w:val="00CB657A"/>
    <w:rsid w:val="00CC22BD"/>
    <w:rsid w:val="00CF4808"/>
    <w:rsid w:val="00D076A2"/>
    <w:rsid w:val="00D20622"/>
    <w:rsid w:val="00D239D1"/>
    <w:rsid w:val="00D23D6A"/>
    <w:rsid w:val="00D311C9"/>
    <w:rsid w:val="00D37305"/>
    <w:rsid w:val="00D640B7"/>
    <w:rsid w:val="00D71CA5"/>
    <w:rsid w:val="00D734BC"/>
    <w:rsid w:val="00D76178"/>
    <w:rsid w:val="00D95E97"/>
    <w:rsid w:val="00DA0F30"/>
    <w:rsid w:val="00DB1B02"/>
    <w:rsid w:val="00DC43EB"/>
    <w:rsid w:val="00DC5E39"/>
    <w:rsid w:val="00DD0D61"/>
    <w:rsid w:val="00DE1A1C"/>
    <w:rsid w:val="00DE727D"/>
    <w:rsid w:val="00E17FF1"/>
    <w:rsid w:val="00E2690C"/>
    <w:rsid w:val="00E304D4"/>
    <w:rsid w:val="00E34A76"/>
    <w:rsid w:val="00E37842"/>
    <w:rsid w:val="00E442BE"/>
    <w:rsid w:val="00E506B1"/>
    <w:rsid w:val="00E54057"/>
    <w:rsid w:val="00E656DC"/>
    <w:rsid w:val="00E65E22"/>
    <w:rsid w:val="00E836C7"/>
    <w:rsid w:val="00E90EE1"/>
    <w:rsid w:val="00EA3985"/>
    <w:rsid w:val="00EA3A02"/>
    <w:rsid w:val="00EA578E"/>
    <w:rsid w:val="00EB78EB"/>
    <w:rsid w:val="00EC23F4"/>
    <w:rsid w:val="00ED0A64"/>
    <w:rsid w:val="00ED10CA"/>
    <w:rsid w:val="00ED2039"/>
    <w:rsid w:val="00ED700C"/>
    <w:rsid w:val="00EE533B"/>
    <w:rsid w:val="00EF1478"/>
    <w:rsid w:val="00F071AE"/>
    <w:rsid w:val="00F13CBC"/>
    <w:rsid w:val="00F621DE"/>
    <w:rsid w:val="00F62626"/>
    <w:rsid w:val="00F73A3D"/>
    <w:rsid w:val="00F80818"/>
    <w:rsid w:val="00F81241"/>
    <w:rsid w:val="00F86552"/>
    <w:rsid w:val="00F87122"/>
    <w:rsid w:val="00FA140D"/>
    <w:rsid w:val="00FA680C"/>
    <w:rsid w:val="00FA6F3A"/>
    <w:rsid w:val="00FB0DF0"/>
    <w:rsid w:val="00FB2122"/>
    <w:rsid w:val="00FB445C"/>
    <w:rsid w:val="00FD1905"/>
    <w:rsid w:val="00FD1CF7"/>
    <w:rsid w:val="00FD3DDE"/>
    <w:rsid w:val="00FD6348"/>
    <w:rsid w:val="00FD7C70"/>
    <w:rsid w:val="00FE7462"/>
    <w:rsid w:val="00FF1068"/>
    <w:rsid w:val="00FF1AC5"/>
    <w:rsid w:val="00FF2210"/>
    <w:rsid w:val="00FF2D88"/>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A85C93D3-3C2E-463C-8529-A2AEF80C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2B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2Char">
    <w:name w:val="Título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CabealhoChar"/>
    <w:unhideWhenUsed/>
    <w:rsid w:val="00B74677"/>
    <w:pPr>
      <w:tabs>
        <w:tab w:val="center" w:pos="4252"/>
        <w:tab w:val="right" w:pos="8504"/>
      </w:tabs>
    </w:pPr>
  </w:style>
  <w:style w:type="character" w:customStyle="1" w:styleId="CabealhoChar">
    <w:name w:val="Cabeçalho Char"/>
    <w:basedOn w:val="DefaultParagraphFont"/>
    <w:link w:val="Header"/>
    <w:uiPriority w:val="99"/>
    <w:rsid w:val="00B74677"/>
  </w:style>
  <w:style w:type="paragraph" w:styleId="Footer">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DefaultParagraphFont"/>
    <w:link w:val="Footer"/>
    <w:uiPriority w:val="99"/>
    <w:rsid w:val="00B74677"/>
  </w:style>
  <w:style w:type="paragraph" w:styleId="PlainText">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DefaultParagraphFont"/>
    <w:link w:val="PlainText"/>
    <w:rsid w:val="00B74677"/>
    <w:rPr>
      <w:rFonts w:ascii="Courier New" w:eastAsia="Times New Roman" w:hAnsi="Courier New" w:cs="Times New Roman"/>
      <w:sz w:val="20"/>
      <w:szCs w:val="20"/>
      <w:lang w:eastAsia="pt-BR"/>
    </w:rPr>
  </w:style>
  <w:style w:type="paragraph" w:styleId="BalloonText">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DefaultParagraphFont"/>
    <w:link w:val="BalloonText"/>
    <w:uiPriority w:val="99"/>
    <w:semiHidden/>
    <w:rsid w:val="00220FF3"/>
    <w:rPr>
      <w:rFonts w:ascii="Tahoma" w:hAnsi="Tahoma" w:cs="Tahoma"/>
      <w:sz w:val="16"/>
      <w:szCs w:val="16"/>
    </w:rPr>
  </w:style>
  <w:style w:type="table" w:styleId="TableGrid">
    <w:name w:val="Table Grid"/>
    <w:basedOn w:val="TableNormal"/>
    <w:uiPriority w:val="59"/>
    <w:rsid w:val="009B2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CorpodetextoChar"/>
    <w:rsid w:val="00F87122"/>
    <w:pPr>
      <w:suppressAutoHyphens/>
      <w:spacing w:after="140" w:line="276"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DefaultParagraphFont"/>
    <w:link w:val="BodyText"/>
    <w:rsid w:val="00F87122"/>
    <w:rPr>
      <w:rFonts w:ascii="Times New Roman" w:eastAsia="Times New Roman" w:hAnsi="Times New Roman" w:cs="Times New Roman"/>
      <w:sz w:val="20"/>
      <w:szCs w:val="20"/>
      <w:lang w:eastAsia="pt-BR"/>
    </w:rPr>
  </w:style>
  <w:style w:type="paragraph" w:styleId="ListParagraph">
    <w:name w:val="List Paragraph"/>
    <w:basedOn w:val="Normal"/>
    <w:uiPriority w:val="34"/>
    <w:qFormat/>
    <w:rsid w:val="00C67FDB"/>
    <w:pPr>
      <w:ind w:left="720"/>
      <w:contextualSpacing/>
    </w:pPr>
  </w:style>
  <w:style w:type="paragraph" w:styleId="NormalWeb">
    <w:name w:val="Normal (Web)"/>
    <w:basedOn w:val="Normal"/>
    <w:uiPriority w:val="99"/>
    <w:semiHidden/>
    <w:unhideWhenUsed/>
    <w:rsid w:val="009B2D4F"/>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citation-250">
    <w:name w:val="citation-250"/>
    <w:basedOn w:val="DefaultParagraphFont"/>
    <w:rsid w:val="009B2D4F"/>
  </w:style>
  <w:style w:type="character" w:customStyle="1" w:styleId="citation-249">
    <w:name w:val="citation-249"/>
    <w:basedOn w:val="DefaultParagraphFont"/>
    <w:rsid w:val="009B2D4F"/>
  </w:style>
  <w:style w:type="character" w:customStyle="1" w:styleId="citation-248">
    <w:name w:val="citation-248"/>
    <w:basedOn w:val="DefaultParagraphFont"/>
    <w:rsid w:val="009B2D4F"/>
  </w:style>
  <w:style w:type="character" w:customStyle="1" w:styleId="citation-247">
    <w:name w:val="citation-247"/>
    <w:basedOn w:val="DefaultParagraphFont"/>
    <w:rsid w:val="009B2D4F"/>
  </w:style>
  <w:style w:type="character" w:styleId="Hyperlink">
    <w:name w:val="Hyperlink"/>
    <w:basedOn w:val="DefaultParagraphFont"/>
    <w:uiPriority w:val="99"/>
    <w:unhideWhenUsed/>
    <w:rsid w:val="00905C46"/>
    <w:rPr>
      <w:color w:val="0563C1" w:themeColor="hyperlink"/>
      <w:u w:val="single"/>
    </w:rPr>
  </w:style>
  <w:style w:type="character" w:customStyle="1" w:styleId="UnresolvedMention">
    <w:name w:val="Unresolved Mention"/>
    <w:basedOn w:val="DefaultParagraphFont"/>
    <w:uiPriority w:val="99"/>
    <w:semiHidden/>
    <w:unhideWhenUsed/>
    <w:rsid w:val="00905C46"/>
    <w:rPr>
      <w:color w:val="605E5C"/>
      <w:shd w:val="clear" w:color="auto" w:fill="E1DFDD"/>
    </w:rPr>
  </w:style>
  <w:style w:type="paragraph" w:styleId="FootnoteText">
    <w:name w:val="footnote text"/>
    <w:basedOn w:val="Normal"/>
    <w:link w:val="TextodenotaderodapChar"/>
    <w:uiPriority w:val="99"/>
    <w:semiHidden/>
    <w:unhideWhenUsed/>
    <w:rsid w:val="003074DC"/>
    <w:rPr>
      <w:sz w:val="20"/>
      <w:szCs w:val="20"/>
    </w:rPr>
  </w:style>
  <w:style w:type="character" w:customStyle="1" w:styleId="TextodenotaderodapChar">
    <w:name w:val="Texto de nota de rodapé Char"/>
    <w:basedOn w:val="DefaultParagraphFont"/>
    <w:link w:val="FootnoteText"/>
    <w:uiPriority w:val="99"/>
    <w:semiHidden/>
    <w:rsid w:val="003074DC"/>
    <w:rPr>
      <w:sz w:val="20"/>
      <w:szCs w:val="20"/>
    </w:rPr>
  </w:style>
  <w:style w:type="character" w:styleId="FootnoteReference">
    <w:name w:val="footnote reference"/>
    <w:basedOn w:val="DefaultParagraphFont"/>
    <w:uiPriority w:val="99"/>
    <w:semiHidden/>
    <w:unhideWhenUsed/>
    <w:rsid w:val="003074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2A4A6-1A11-4959-BA46-11305C5D0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6</Pages>
  <Words>1689</Words>
  <Characters>9123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Eric Cavaca</cp:lastModifiedBy>
  <cp:revision>124</cp:revision>
  <cp:lastPrinted>2026-04-13T11:53:05Z</cp:lastPrinted>
  <dcterms:created xsi:type="dcterms:W3CDTF">2025-03-11T18:20:00Z</dcterms:created>
  <dcterms:modified xsi:type="dcterms:W3CDTF">2026-04-12T23:43:00Z</dcterms:modified>
</cp:coreProperties>
</file>