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06BF" w:rsidRPr="00F621DE" w:rsidP="00BC06BF" w14:paraId="131AA038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</w:pPr>
      <w:r w:rsidRPr="00F621DE"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  <w:t>Emenda Nº 4 ao Projeto de Lei Nº 12/2026</w:t>
      </w:r>
      <w:r w:rsidRPr="00F621DE"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  <w:t>Emenda Nº 4 ao Projeto de Lei Nº 12/2026</w:t>
      </w:r>
    </w:p>
    <w:p w:rsidR="00BC06BF" w:rsidP="00BC06BF" w14:paraId="7F812FF3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C315C8" w:rsidRPr="006A4085" w:rsidP="00BC06BF" w14:paraId="3EB0865C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C315C8" w:rsidRPr="00C315C8" w:rsidP="00C315C8" w14:paraId="66BA40BA" w14:textId="40890222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</w:rPr>
      </w:pPr>
      <w:r>
        <w:rPr>
          <w:rFonts w:ascii="Courier New" w:hAnsi="Courier New" w:cs="Courier New"/>
          <w:i/>
          <w:iCs/>
          <w:kern w:val="3"/>
        </w:rPr>
        <w:t>(</w:t>
      </w:r>
      <w:r w:rsidRPr="00C315C8">
        <w:rPr>
          <w:rFonts w:ascii="Courier New" w:hAnsi="Courier New" w:cs="Courier New"/>
          <w:i/>
          <w:iCs/>
          <w:kern w:val="3"/>
        </w:rPr>
        <w:t xml:space="preserve">EMENDA </w:t>
      </w:r>
      <w:r w:rsidRPr="00B86888" w:rsidR="00B86888">
        <w:rPr>
          <w:rFonts w:ascii="Courier New" w:hAnsi="Courier New" w:cs="Courier New"/>
          <w:i/>
          <w:iCs/>
          <w:kern w:val="3"/>
        </w:rPr>
        <w:t>ADITIVA</w:t>
      </w:r>
      <w:r w:rsidR="00B86888">
        <w:rPr>
          <w:rFonts w:ascii="Courier New" w:hAnsi="Courier New" w:cs="Courier New"/>
          <w:i/>
          <w:iCs/>
          <w:kern w:val="3"/>
        </w:rPr>
        <w:t xml:space="preserve"> </w:t>
      </w:r>
      <w:r w:rsidRPr="00C315C8">
        <w:rPr>
          <w:rFonts w:ascii="Courier New" w:hAnsi="Courier New" w:cs="Courier New"/>
          <w:i/>
          <w:iCs/>
          <w:kern w:val="3"/>
        </w:rPr>
        <w:t>AO PROJETO DE LEI Nº 12/2026</w:t>
      </w:r>
      <w:r>
        <w:rPr>
          <w:rFonts w:ascii="Courier New" w:hAnsi="Courier New" w:cs="Courier New"/>
          <w:i/>
          <w:iCs/>
          <w:kern w:val="3"/>
        </w:rPr>
        <w:t>)</w:t>
      </w:r>
    </w:p>
    <w:p w:rsidR="00BC06BF" w:rsidRPr="006A4085" w:rsidP="00BC06BF" w14:paraId="1A19728B" w14:textId="125211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BC06BF" w:rsidRPr="006A4085" w:rsidP="00BC06BF" w14:paraId="3889667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</w:rPr>
      </w:pPr>
    </w:p>
    <w:p w:rsidR="00C315C8" w:rsidRPr="00C315C8" w:rsidP="00C315C8" w14:paraId="2F85064C" w14:textId="5A6F72F4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  <w:r w:rsidRPr="003F2FA4">
        <w:rPr>
          <w:rFonts w:ascii="Courier New" w:hAnsi="Courier New" w:cs="Courier New"/>
        </w:rPr>
        <w:t>Acrescenta o Art. 9º-A ao Projeto de Lei nº 12/2026</w:t>
      </w:r>
      <w:r>
        <w:rPr>
          <w:rFonts w:ascii="Courier New" w:hAnsi="Courier New" w:cs="Courier New"/>
        </w:rPr>
        <w:t>, passando a vigorar com a seguinte redação:</w:t>
      </w:r>
    </w:p>
    <w:p w:rsidR="008F20CC" w:rsidP="006A4085" w14:paraId="3262CBEB" w14:textId="4C1A7EF3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</w:p>
    <w:p w:rsidR="003F2FA4" w:rsidRPr="00C315C8" w:rsidP="003F2FA4" w14:paraId="165B7EF5" w14:textId="06635F7E">
      <w:pPr>
        <w:spacing w:before="120" w:after="12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Pr="003F2FA4">
        <w:rPr>
          <w:rFonts w:ascii="Courier New" w:hAnsi="Courier New" w:cs="Courier New"/>
          <w:b/>
          <w:bCs/>
        </w:rPr>
        <w:t>Art. 9º-A.</w:t>
      </w:r>
      <w:r w:rsidRPr="003F2FA4">
        <w:rPr>
          <w:rFonts w:ascii="Courier New" w:hAnsi="Courier New" w:cs="Courier New"/>
        </w:rPr>
        <w:t xml:space="preserve"> A execução do programa instituído por esta Lei fica condicionada à expressa e suficiente dotação na Lei Orçamentária Anual (LOA), a fim de cobrir as despesas de custeio necessárias, incluindo material didático, uniformes e outras previstas na regulamentação.</w:t>
      </w:r>
      <w:r>
        <w:rPr>
          <w:rFonts w:ascii="Courier New" w:hAnsi="Courier New" w:cs="Courier New"/>
        </w:rPr>
        <w:t>”</w:t>
      </w:r>
    </w:p>
    <w:p w:rsidR="00C315C8" w:rsidRPr="00C315C8" w:rsidP="00C315C8" w14:paraId="2D489E64" w14:textId="52B0A141">
      <w:pPr>
        <w:spacing w:before="120" w:after="120" w:line="360" w:lineRule="auto"/>
        <w:jc w:val="both"/>
        <w:rPr>
          <w:rFonts w:ascii="Courier New" w:hAnsi="Courier New" w:cs="Courier New"/>
        </w:rPr>
      </w:pPr>
    </w:p>
    <w:p w:rsidR="00424CF2" w:rsidRPr="00424CF2" w:rsidP="00424CF2" w14:paraId="28F0740A" w14:textId="50024256">
      <w:pPr>
        <w:spacing w:before="120" w:after="120" w:line="360" w:lineRule="auto"/>
        <w:jc w:val="right"/>
        <w:rPr>
          <w:rFonts w:ascii="Courier New" w:hAnsi="Courier New" w:cs="Courier New"/>
          <w:i/>
          <w:iCs/>
        </w:rPr>
      </w:pPr>
      <w:r w:rsidRPr="00424CF2">
        <w:rPr>
          <w:rFonts w:ascii="Courier New" w:hAnsi="Courier New" w:cs="Courier New"/>
          <w:i/>
          <w:iCs/>
        </w:rPr>
        <w:t xml:space="preserve">Sala das Sessões “Vereador Santo </w:t>
      </w:r>
      <w:r w:rsidRPr="00424CF2">
        <w:rPr>
          <w:rFonts w:ascii="Courier New" w:hAnsi="Courier New" w:cs="Courier New"/>
          <w:i/>
          <w:iCs/>
        </w:rPr>
        <w:t>Róttoli</w:t>
      </w:r>
      <w:r w:rsidRPr="00424CF2">
        <w:rPr>
          <w:rFonts w:ascii="Courier New" w:hAnsi="Courier New" w:cs="Courier New"/>
          <w:i/>
          <w:iCs/>
        </w:rPr>
        <w:t xml:space="preserve">”, </w:t>
      </w:r>
      <w:r w:rsidRPr="00424CF2">
        <w:rPr>
          <w:rFonts w:ascii="Courier New" w:hAnsi="Courier New" w:cs="Courier New"/>
          <w:i/>
          <w:iCs/>
        </w:rPr>
        <w:fldChar w:fldCharType="begin"/>
      </w:r>
      <w:r w:rsidRPr="00424CF2">
        <w:rPr>
          <w:rFonts w:ascii="Courier New" w:hAnsi="Courier New" w:cs="Courier New"/>
          <w:i/>
          <w:iCs/>
        </w:rPr>
        <w:instrText xml:space="preserve"> TIME \@ "d' de 'MMMM' de 'yyyy" </w:instrText>
      </w:r>
      <w:r w:rsidRPr="00424CF2">
        <w:rPr>
          <w:rFonts w:ascii="Courier New" w:hAnsi="Courier New" w:cs="Courier New"/>
          <w:i/>
          <w:iCs/>
        </w:rPr>
        <w:fldChar w:fldCharType="separate"/>
      </w:r>
      <w:r w:rsidRPr="00424CF2">
        <w:rPr>
          <w:rFonts w:ascii="Courier New" w:hAnsi="Courier New" w:cs="Courier New"/>
          <w:i/>
          <w:iCs/>
        </w:rPr>
        <w:t>13 de abril de 2026</w:t>
      </w:r>
      <w:r w:rsidRPr="00424CF2">
        <w:rPr>
          <w:rFonts w:ascii="Courier New" w:hAnsi="Courier New" w:cs="Courier New"/>
          <w:i/>
          <w:iCs/>
        </w:rPr>
        <w:fldChar w:fldCharType="end"/>
      </w:r>
      <w:r w:rsidRPr="00424CF2">
        <w:rPr>
          <w:rFonts w:ascii="Courier New" w:hAnsi="Courier New" w:cs="Courier New"/>
          <w:i/>
          <w:iCs/>
        </w:rPr>
        <w:t>.</w:t>
      </w:r>
    </w:p>
    <w:p w:rsidR="00424CF2" w:rsidP="006A4085" w14:paraId="343E03A1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C315C8" w:rsidRPr="006A4085" w:rsidP="006A4085" w14:paraId="0ABF981A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424CF2" w:rsidRPr="00424CF2" w:rsidP="00424CF2" w14:paraId="4AF5269B" w14:textId="77777777">
      <w:pPr>
        <w:spacing w:line="480" w:lineRule="auto"/>
        <w:jc w:val="center"/>
        <w:rPr>
          <w:rFonts w:ascii="Courier New" w:hAnsi="Courier New" w:cs="Courier New"/>
        </w:rPr>
      </w:pPr>
      <w:r w:rsidRPr="00424CF2">
        <w:rPr>
          <w:rFonts w:ascii="Courier New" w:hAnsi="Courier New" w:cs="Courier New"/>
          <w:i/>
          <w:iCs/>
        </w:rPr>
        <w:t>(assinado digitalmente)</w:t>
      </w:r>
    </w:p>
    <w:p w:rsidR="00424CF2" w:rsidRPr="00424CF2" w:rsidP="00424CF2" w14:paraId="39D6F33B" w14:textId="77777777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424CF2">
        <w:rPr>
          <w:rFonts w:ascii="Courier New" w:hAnsi="Courier New" w:cs="Courier New"/>
          <w:b/>
          <w:bCs/>
        </w:rPr>
        <w:t>VEREADOR ERNANI LUIZ DONATTI GRAGNANELLO</w:t>
      </w:r>
      <w:r w:rsidRPr="00424CF2">
        <w:rPr>
          <w:rFonts w:ascii="Courier New" w:hAnsi="Courier New" w:cs="Courier New"/>
          <w:b/>
          <w:bCs/>
        </w:rPr>
        <w:br/>
        <w:t>PARTIDO DOS TRABALHADORES (PT)</w:t>
      </w:r>
    </w:p>
    <w:p w:rsidR="00424CF2" w:rsidRPr="00424CF2" w:rsidP="00424CF2" w14:paraId="063DFFFE" w14:textId="777777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:rsidR="002575B7" w:rsidP="002575B7" w14:paraId="6A10237E" w14:textId="358EECD8">
      <w:pPr>
        <w:spacing w:before="120" w:after="120" w:line="360" w:lineRule="auto"/>
        <w:jc w:val="center"/>
        <w:rPr>
          <w:rFonts w:ascii="Courier New" w:hAnsi="Courier New" w:cs="Courier New"/>
        </w:rPr>
      </w:pPr>
      <w:r w:rsidRPr="000E658D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914786" cy="1352550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14051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79" cy="1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085">
        <w:rPr>
          <w:rFonts w:ascii="Courier New" w:hAnsi="Courier New" w:cs="Courier New"/>
        </w:rPr>
        <w:br w:type="page"/>
      </w:r>
    </w:p>
    <w:p w:rsidR="00424CF2" w:rsidRPr="00C315C8" w:rsidP="00424CF2" w14:paraId="02B6DD8E" w14:textId="35CF1E7F">
      <w:pPr>
        <w:spacing w:before="120" w:after="120"/>
        <w:jc w:val="center"/>
        <w:rPr>
          <w:rFonts w:ascii="Courier New" w:hAnsi="Courier New" w:cs="Courier New"/>
          <w:b/>
          <w:bCs/>
          <w:u w:val="single"/>
        </w:rPr>
      </w:pPr>
      <w:r w:rsidRPr="00C315C8">
        <w:rPr>
          <w:rFonts w:ascii="Courier New" w:hAnsi="Courier New" w:cs="Courier New"/>
          <w:b/>
          <w:bCs/>
          <w:u w:val="single"/>
        </w:rPr>
        <w:t>JUSTIFICAÇÃO</w:t>
      </w:r>
    </w:p>
    <w:p w:rsidR="00C315C8" w:rsidP="00FB0DF0" w14:paraId="32748FEA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865283" w:rsidP="00865283" w14:paraId="13824F5F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65283">
        <w:rPr>
          <w:rFonts w:ascii="Courier New" w:hAnsi="Courier New" w:cs="Courier New"/>
        </w:rPr>
        <w:t xml:space="preserve">A presente </w:t>
      </w:r>
      <w:r>
        <w:rPr>
          <w:rFonts w:ascii="Courier New" w:hAnsi="Courier New" w:cs="Courier New"/>
        </w:rPr>
        <w:t>emenda</w:t>
      </w:r>
      <w:r w:rsidRPr="00865283">
        <w:rPr>
          <w:rFonts w:ascii="Courier New" w:hAnsi="Courier New" w:cs="Courier New"/>
        </w:rPr>
        <w:t xml:space="preserve"> consubstancia-se como imperativo de responsabilidade fiscal e salvaguarda do princípio da eficiência, visando conferir densidade material ao ordenamento jurídico local.</w:t>
      </w:r>
    </w:p>
    <w:p w:rsidR="00865283" w:rsidP="00865283" w14:paraId="49EB1322" w14:textId="327ADB3F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65283">
        <w:rPr>
          <w:rFonts w:ascii="Courier New" w:hAnsi="Courier New" w:cs="Courier New"/>
        </w:rPr>
        <w:t xml:space="preserve">Diante da constatação técnica de que a execução do programa em tela enseja impacto financeiro imediato, a medida atua sob a égide do postulado </w:t>
      </w:r>
      <w:r w:rsidRPr="00865283">
        <w:rPr>
          <w:rFonts w:ascii="Courier New" w:hAnsi="Courier New" w:cs="Courier New"/>
          <w:i/>
          <w:iCs/>
        </w:rPr>
        <w:t xml:space="preserve">ad </w:t>
      </w:r>
      <w:r w:rsidRPr="00865283">
        <w:rPr>
          <w:rFonts w:ascii="Courier New" w:hAnsi="Courier New" w:cs="Courier New"/>
          <w:i/>
          <w:iCs/>
        </w:rPr>
        <w:t>impossibilia</w:t>
      </w:r>
      <w:r w:rsidRPr="00865283">
        <w:rPr>
          <w:rFonts w:ascii="Courier New" w:hAnsi="Courier New" w:cs="Courier New"/>
          <w:i/>
          <w:iCs/>
        </w:rPr>
        <w:t xml:space="preserve"> nemo tenetur</w:t>
      </w:r>
      <w:r w:rsidRPr="00865283">
        <w:rPr>
          <w:rFonts w:ascii="Courier New" w:hAnsi="Courier New" w:cs="Courier New"/>
        </w:rPr>
        <w:t>, impedindo que a norma nasça desprovida de lastro orçamentário, o que fatalmente a conduziria ao campo da ineficácia.</w:t>
      </w:r>
      <w:r>
        <w:rPr>
          <w:rFonts w:ascii="Courier New" w:hAnsi="Courier New" w:cs="Courier New"/>
        </w:rPr>
        <w:t xml:space="preserve"> Afinal, o</w:t>
      </w:r>
      <w:r w:rsidRPr="00865283">
        <w:rPr>
          <w:rFonts w:ascii="Courier New" w:hAnsi="Courier New" w:cs="Courier New"/>
        </w:rPr>
        <w:t xml:space="preserve"> Despacho nº 81/2026 da Diretoria de Planejamento e Orçamento reforça a exigência de cumprimento da Lei de Responsabilidade Fiscal, mas não aponta a origem dos recursos.</w:t>
      </w:r>
    </w:p>
    <w:p w:rsidR="00865283" w:rsidRPr="00865283" w:rsidP="00865283" w14:paraId="0E502D5C" w14:textId="055B93A9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65283">
        <w:rPr>
          <w:rFonts w:ascii="Courier New" w:hAnsi="Courier New" w:cs="Courier New"/>
        </w:rPr>
        <w:t xml:space="preserve">Ao condicionar a implementação da política pública à prévia e necessária dotação de recursos, a emenda prestigia o </w:t>
      </w:r>
      <w:r w:rsidRPr="00865283">
        <w:rPr>
          <w:rFonts w:ascii="Courier New" w:hAnsi="Courier New" w:cs="Courier New"/>
          <w:b/>
          <w:bCs/>
        </w:rPr>
        <w:t xml:space="preserve">Princípio </w:t>
      </w:r>
      <w:r w:rsidRPr="00865283">
        <w:rPr>
          <w:rFonts w:ascii="Courier New" w:hAnsi="Courier New" w:cs="Courier New"/>
          <w:b/>
          <w:bCs/>
        </w:rPr>
        <w:t xml:space="preserve">do </w:t>
      </w:r>
      <w:r w:rsidRPr="00865283">
        <w:rPr>
          <w:rFonts w:ascii="Courier New" w:hAnsi="Courier New" w:cs="Courier New"/>
          <w:b/>
          <w:bCs/>
        </w:rPr>
        <w:t xml:space="preserve">Planejamento </w:t>
      </w:r>
      <w:r w:rsidRPr="00865283">
        <w:rPr>
          <w:rFonts w:ascii="Courier New" w:hAnsi="Courier New" w:cs="Courier New"/>
          <w:b/>
          <w:bCs/>
        </w:rPr>
        <w:t xml:space="preserve">e da </w:t>
      </w:r>
      <w:r w:rsidRPr="00865283">
        <w:rPr>
          <w:rFonts w:ascii="Courier New" w:hAnsi="Courier New" w:cs="Courier New"/>
          <w:b/>
          <w:bCs/>
        </w:rPr>
        <w:t xml:space="preserve">Transparência </w:t>
      </w:r>
      <w:r w:rsidRPr="00865283">
        <w:rPr>
          <w:rFonts w:ascii="Courier New" w:hAnsi="Courier New" w:cs="Courier New"/>
          <w:b/>
          <w:bCs/>
        </w:rPr>
        <w:t xml:space="preserve">das </w:t>
      </w:r>
      <w:r w:rsidRPr="00865283">
        <w:rPr>
          <w:rFonts w:ascii="Courier New" w:hAnsi="Courier New" w:cs="Courier New"/>
          <w:b/>
          <w:bCs/>
        </w:rPr>
        <w:t>Contas Públicas</w:t>
      </w:r>
      <w:r w:rsidRPr="00865283">
        <w:rPr>
          <w:rFonts w:ascii="Courier New" w:hAnsi="Courier New" w:cs="Courier New"/>
        </w:rPr>
        <w:t xml:space="preserve">, evitando a proliferação de normas meramente simbólicas que, embora vigentes, carecem de exequibilidade por absoluta ausência de suporte financeiro </w:t>
      </w:r>
      <w:r w:rsidRPr="00865283">
        <w:rPr>
          <w:rFonts w:ascii="Courier New" w:hAnsi="Courier New" w:cs="Courier New"/>
          <w:i/>
          <w:iCs/>
        </w:rPr>
        <w:t>ex ante</w:t>
      </w:r>
      <w:r w:rsidRPr="00865283">
        <w:rPr>
          <w:rFonts w:ascii="Courier New" w:hAnsi="Courier New" w:cs="Courier New"/>
        </w:rPr>
        <w:t>.</w:t>
      </w:r>
    </w:p>
    <w:p w:rsidR="00865283" w:rsidP="00865283" w14:paraId="1727B3ED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65283">
        <w:rPr>
          <w:rFonts w:ascii="Courier New" w:hAnsi="Courier New" w:cs="Courier New"/>
        </w:rPr>
        <w:t xml:space="preserve">Sob o prisma constitucional, a emenda não malfere a separação de poderes, mas sim a aperfeiçoa, uma vez que não usurpa a prerrogativa do Poder Executivo de deflagrar o processo orçamentário. Pelo contrário, institui-se uma </w:t>
      </w:r>
      <w:r w:rsidRPr="00865283">
        <w:rPr>
          <w:rFonts w:ascii="Courier New" w:hAnsi="Courier New" w:cs="Courier New"/>
          <w:i/>
          <w:iCs/>
        </w:rPr>
        <w:t>conditio iuris</w:t>
      </w:r>
      <w:r w:rsidRPr="00865283">
        <w:rPr>
          <w:rFonts w:ascii="Courier New" w:hAnsi="Courier New" w:cs="Courier New"/>
        </w:rPr>
        <w:t xml:space="preserve"> suspensiva de eficácia, harmonizando a vontade parlamentar com a discricionariedade técnica da Administração na gestão de seus ativos.</w:t>
      </w:r>
    </w:p>
    <w:p w:rsidR="00865283" w:rsidRPr="00865283" w:rsidP="00865283" w14:paraId="34E8DAD8" w14:textId="0F11D566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65283">
        <w:rPr>
          <w:rFonts w:ascii="Courier New" w:hAnsi="Courier New" w:cs="Courier New"/>
        </w:rPr>
        <w:t xml:space="preserve">Trata-se de homenagear o </w:t>
      </w:r>
      <w:r w:rsidRPr="00865283">
        <w:rPr>
          <w:rFonts w:ascii="Courier New" w:hAnsi="Courier New" w:cs="Courier New"/>
          <w:b/>
          <w:bCs/>
        </w:rPr>
        <w:t xml:space="preserve">Princípio </w:t>
      </w:r>
      <w:r w:rsidRPr="00865283">
        <w:rPr>
          <w:rFonts w:ascii="Courier New" w:hAnsi="Courier New" w:cs="Courier New"/>
          <w:b/>
          <w:bCs/>
        </w:rPr>
        <w:t xml:space="preserve">da </w:t>
      </w:r>
      <w:r w:rsidRPr="00865283">
        <w:rPr>
          <w:rFonts w:ascii="Courier New" w:hAnsi="Courier New" w:cs="Courier New"/>
          <w:b/>
          <w:bCs/>
        </w:rPr>
        <w:t xml:space="preserve">Harmonia </w:t>
      </w:r>
      <w:r w:rsidRPr="00865283">
        <w:rPr>
          <w:rFonts w:ascii="Courier New" w:hAnsi="Courier New" w:cs="Courier New"/>
        </w:rPr>
        <w:t xml:space="preserve">e </w:t>
      </w:r>
      <w:r w:rsidRPr="00865283">
        <w:rPr>
          <w:rFonts w:ascii="Courier New" w:hAnsi="Courier New" w:cs="Courier New"/>
          <w:b/>
          <w:bCs/>
        </w:rPr>
        <w:t xml:space="preserve">Independência Entre </w:t>
      </w:r>
      <w:r w:rsidRPr="00865283">
        <w:rPr>
          <w:rFonts w:ascii="Courier New" w:hAnsi="Courier New" w:cs="Courier New"/>
          <w:b/>
          <w:bCs/>
        </w:rPr>
        <w:t xml:space="preserve">os </w:t>
      </w:r>
      <w:r w:rsidRPr="00865283">
        <w:rPr>
          <w:rFonts w:ascii="Courier New" w:hAnsi="Courier New" w:cs="Courier New"/>
          <w:b/>
          <w:bCs/>
        </w:rPr>
        <w:t>Poderes</w:t>
      </w:r>
      <w:r w:rsidRPr="00865283">
        <w:rPr>
          <w:rFonts w:ascii="Courier New" w:hAnsi="Courier New" w:cs="Courier New"/>
        </w:rPr>
        <w:t xml:space="preserve">, garantindo que a lei não se torne uma </w:t>
      </w:r>
      <w:r w:rsidRPr="00865283">
        <w:rPr>
          <w:rFonts w:ascii="Courier New" w:hAnsi="Courier New" w:cs="Courier New"/>
          <w:i/>
          <w:iCs/>
        </w:rPr>
        <w:t>lex</w:t>
      </w:r>
      <w:r w:rsidRPr="00865283">
        <w:rPr>
          <w:rFonts w:ascii="Courier New" w:hAnsi="Courier New" w:cs="Courier New"/>
          <w:i/>
          <w:iCs/>
        </w:rPr>
        <w:t xml:space="preserve"> </w:t>
      </w:r>
      <w:r w:rsidRPr="00865283">
        <w:rPr>
          <w:rFonts w:ascii="Courier New" w:hAnsi="Courier New" w:cs="Courier New"/>
          <w:i/>
          <w:iCs/>
        </w:rPr>
        <w:t>imperfecta</w:t>
      </w:r>
      <w:r w:rsidRPr="00865283">
        <w:rPr>
          <w:rFonts w:ascii="Courier New" w:hAnsi="Courier New" w:cs="Courier New"/>
        </w:rPr>
        <w:t>, cuja inoperância frustraria o interesse público e a confiança legítima dos administrados. A medida assegura</w:t>
      </w:r>
      <w:r>
        <w:rPr>
          <w:rFonts w:ascii="Courier New" w:hAnsi="Courier New" w:cs="Courier New"/>
        </w:rPr>
        <w:t>, então,</w:t>
      </w:r>
      <w:r w:rsidRPr="00865283">
        <w:rPr>
          <w:rFonts w:ascii="Courier New" w:hAnsi="Courier New" w:cs="Courier New"/>
        </w:rPr>
        <w:t xml:space="preserve"> que o Poder Legislativo exerça sua função de controle sem invadir a reserva de administração, estabelecendo um rito de integração normativa que respeita o ciclo orçamentário.</w:t>
      </w:r>
    </w:p>
    <w:p w:rsidR="00C45FB2" w:rsidRPr="00C45FB2" w:rsidP="00C45FB2" w14:paraId="6087B832" w14:textId="54C27A5F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C45FB2">
        <w:rPr>
          <w:rFonts w:ascii="Courier New" w:hAnsi="Courier New" w:cs="Courier New"/>
        </w:rPr>
        <w:t xml:space="preserve">A doutrina de Direito Financeiro é unânime em afirmar que a criação de despesas deve ser precedida de planejamento, conforme exige a </w:t>
      </w:r>
      <w:r w:rsidRPr="00C45FB2">
        <w:rPr>
          <w:rFonts w:ascii="Courier New" w:hAnsi="Courier New" w:cs="Courier New"/>
          <w:b/>
          <w:bCs/>
        </w:rPr>
        <w:t>Lei de Responsabilidade Fiscal (LC 101/2000)</w:t>
      </w:r>
      <w:r w:rsidRPr="00C45FB2">
        <w:rPr>
          <w:rFonts w:ascii="Courier New" w:hAnsi="Courier New" w:cs="Courier New"/>
        </w:rPr>
        <w:t xml:space="preserve"> em seu Art. 16. Conforme </w:t>
      </w:r>
      <w:r w:rsidRPr="00C45FB2">
        <w:rPr>
          <w:rFonts w:ascii="Courier New" w:hAnsi="Courier New" w:cs="Courier New"/>
        </w:rPr>
        <w:t xml:space="preserve">ensinam </w:t>
      </w:r>
      <w:r w:rsidRPr="00C45FB2">
        <w:rPr>
          <w:rFonts w:ascii="Courier New" w:hAnsi="Courier New" w:cs="Courier New"/>
          <w:b/>
          <w:bCs/>
        </w:rPr>
        <w:t>Carlos Maurício de Figueiredo e Marcos Nóbrega</w:t>
      </w:r>
      <w:r w:rsidRPr="00C45FB2">
        <w:rPr>
          <w:rFonts w:ascii="Courier New" w:hAnsi="Courier New" w:cs="Courier New"/>
        </w:rPr>
        <w:t>, a ausência de previsão orçamentária para uma nova despesa torna o ato de sua criação irregular e lesivo ao patrimônio público (</w:t>
      </w:r>
      <w:r w:rsidRPr="00C45FB2">
        <w:rPr>
          <w:rFonts w:ascii="Courier New" w:hAnsi="Courier New" w:cs="Courier New"/>
          <w:i/>
          <w:iCs/>
        </w:rPr>
        <w:t>FIGUEIREDO, Carlos Maurício; NÓBREGA, Marcos. Comentários à Lei de Responsabilidade Fiscal. 3. ed. São Paulo: Saraiva, 2013</w:t>
      </w:r>
      <w:r w:rsidRPr="00C45FB2">
        <w:rPr>
          <w:rFonts w:ascii="Courier New" w:hAnsi="Courier New" w:cs="Courier New"/>
        </w:rPr>
        <w:t>).</w:t>
      </w:r>
    </w:p>
    <w:p w:rsidR="00C45FB2" w:rsidP="00C45FB2" w14:paraId="604D566E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É sabido que a</w:t>
      </w:r>
      <w:r w:rsidRPr="00C45FB2">
        <w:rPr>
          <w:rFonts w:ascii="Courier New" w:hAnsi="Courier New" w:cs="Courier New"/>
        </w:rPr>
        <w:t xml:space="preserve"> jurisprudência é rigorosa na aplicação desta regra. O </w:t>
      </w:r>
      <w:r w:rsidRPr="00C45FB2">
        <w:rPr>
          <w:rFonts w:ascii="Courier New" w:hAnsi="Courier New" w:cs="Courier New"/>
          <w:b/>
          <w:bCs/>
        </w:rPr>
        <w:t>Supremo Tribunal Federal (STF)</w:t>
      </w:r>
      <w:r w:rsidRPr="00C45FB2">
        <w:rPr>
          <w:rFonts w:ascii="Courier New" w:hAnsi="Courier New" w:cs="Courier New"/>
        </w:rPr>
        <w:t xml:space="preserve">, no julgamento da </w:t>
      </w:r>
      <w:r w:rsidRPr="00C45FB2">
        <w:rPr>
          <w:rFonts w:ascii="Courier New" w:hAnsi="Courier New" w:cs="Courier New"/>
          <w:b/>
          <w:bCs/>
        </w:rPr>
        <w:t>ADI 6090</w:t>
      </w:r>
      <w:r w:rsidRPr="00C45FB2">
        <w:rPr>
          <w:rFonts w:ascii="Courier New" w:hAnsi="Courier New" w:cs="Courier New"/>
        </w:rPr>
        <w:t>, declarou a inconstitucionalidade formal de lei que criou despesas sem a devida estimativa de impacto financeiro, violando o Art. 113 do ADCT, que se aplica aos municípios</w:t>
      </w:r>
      <w:r>
        <w:rPr>
          <w:rFonts w:ascii="Courier New" w:hAnsi="Courier New" w:cs="Courier New"/>
        </w:rPr>
        <w:t>:</w:t>
      </w:r>
    </w:p>
    <w:p w:rsidR="00C45FB2" w:rsidP="00C45FB2" w14:paraId="32F1FFBE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C45FB2" w:rsidRPr="003E5E0F" w:rsidP="00C45FB2" w14:paraId="54E22C0D" w14:textId="1D937F86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0"/>
          <w:szCs w:val="20"/>
        </w:rPr>
      </w:pPr>
      <w:r w:rsidRPr="00C45FB2">
        <w:rPr>
          <w:rFonts w:ascii="Courier New" w:hAnsi="Courier New" w:cs="Courier New"/>
          <w:sz w:val="20"/>
          <w:szCs w:val="20"/>
        </w:rPr>
        <w:t>EMENTA Ação direta de inconstitucionalidade. Artigos 26, 27, 28, 29, 30, 31 e 33 da Lei 1.257/18 do Estado de Roraima. Novo plano de cargos, carreiras e remuneração (</w:t>
      </w:r>
      <w:r w:rsidRPr="00C45FB2">
        <w:rPr>
          <w:rFonts w:ascii="Courier New" w:hAnsi="Courier New" w:cs="Courier New"/>
          <w:sz w:val="20"/>
          <w:szCs w:val="20"/>
        </w:rPr>
        <w:t>PCCR</w:t>
      </w:r>
      <w:r w:rsidRPr="00C45FB2">
        <w:rPr>
          <w:rFonts w:ascii="Courier New" w:hAnsi="Courier New" w:cs="Courier New"/>
          <w:sz w:val="20"/>
          <w:szCs w:val="20"/>
        </w:rPr>
        <w:t>) dos servidores públicos do quadro de pessoal do Instituto de Terras e Colonização de Roraima (</w:t>
      </w:r>
      <w:r w:rsidRPr="00C45FB2">
        <w:rPr>
          <w:rFonts w:ascii="Courier New" w:hAnsi="Courier New" w:cs="Courier New"/>
          <w:sz w:val="20"/>
          <w:szCs w:val="20"/>
        </w:rPr>
        <w:t>ITERAIMA</w:t>
      </w:r>
      <w:r w:rsidRPr="00C45FB2">
        <w:rPr>
          <w:rFonts w:ascii="Courier New" w:hAnsi="Courier New" w:cs="Courier New"/>
          <w:sz w:val="20"/>
          <w:szCs w:val="20"/>
        </w:rPr>
        <w:t>). Alegação de ofensa ao art. 169, § 1º, inciso I, da Constituição Federal, e ao art. 113 do Ato das Disposições Constitucionais Transitórias (</w:t>
      </w:r>
      <w:r w:rsidRPr="00C45FB2">
        <w:rPr>
          <w:rFonts w:ascii="Courier New" w:hAnsi="Courier New" w:cs="Courier New"/>
          <w:sz w:val="20"/>
          <w:szCs w:val="20"/>
        </w:rPr>
        <w:t>ADTC</w:t>
      </w:r>
      <w:r w:rsidRPr="00C45FB2">
        <w:rPr>
          <w:rFonts w:ascii="Courier New" w:hAnsi="Courier New" w:cs="Courier New"/>
          <w:sz w:val="20"/>
          <w:szCs w:val="20"/>
        </w:rPr>
        <w:t>). Ausência de prévia dotação orçamentária. Não conhecimento da ação direta. Violação do art. 169, § 1º, inciso I, da Constituição Federal. Estimativa de impacto orçamentário e financeiro da lei impugnada. Obrigatoriedade. Artigo 113 do ADCT. Alcance. União e demais entes federativos. Inconstitucionalidade formal. Conhecimento parcial. Procedência. Modulação dos efeitos da decisão. 1. Segundo a firme jurisprudência da Suprema Corte, eventual descumprimento do disposto no art. 169, § 1º, da CF não repercute no plano de validade da norma de modo a ensejar sua inconstitucionalidade, mas apenas em sua ineficácia. Precedentes. Não conhecimento da ação direta quanto à suposta violação do art. 169, § 1º, inciso I, da Constituição Federal. 2. Na linha dos precedentes do Supremo Tribunal Federal, a norma do art. 113 do ADCT tem caráter nacional e se aplica a todos os entes federativos. Precedentes. 3. In casu, a Lei nº 1.257, de 6 de março de 2018, do Estado de Roraima, dispõe sobre o novo plano de cargos, carreiras e remuneração (</w:t>
      </w:r>
      <w:r w:rsidRPr="00C45FB2">
        <w:rPr>
          <w:rFonts w:ascii="Courier New" w:hAnsi="Courier New" w:cs="Courier New"/>
          <w:sz w:val="20"/>
          <w:szCs w:val="20"/>
        </w:rPr>
        <w:t>PCCR</w:t>
      </w:r>
      <w:r w:rsidRPr="00C45FB2">
        <w:rPr>
          <w:rFonts w:ascii="Courier New" w:hAnsi="Courier New" w:cs="Courier New"/>
          <w:sz w:val="20"/>
          <w:szCs w:val="20"/>
        </w:rPr>
        <w:t>) dos servidores públicos do quadro de pessoal do Instituto de Terras e Colonização de Roraima (</w:t>
      </w:r>
      <w:r w:rsidRPr="00C45FB2">
        <w:rPr>
          <w:rFonts w:ascii="Courier New" w:hAnsi="Courier New" w:cs="Courier New"/>
          <w:sz w:val="20"/>
          <w:szCs w:val="20"/>
        </w:rPr>
        <w:t>ITERAIMA</w:t>
      </w:r>
      <w:r w:rsidRPr="00C45FB2">
        <w:rPr>
          <w:rFonts w:ascii="Courier New" w:hAnsi="Courier New" w:cs="Courier New"/>
          <w:sz w:val="20"/>
          <w:szCs w:val="20"/>
        </w:rPr>
        <w:t xml:space="preserve">). De sua leitura depreende-se que os arts. 26, 27, 28, 29, 30, 31 e 33, ora impugnados, versam, respectivamente, sobre adicionais de qualificação, de penosidade, de insalubridade e de atividade em comissão, além de fixar o vencimento básico dos cargos efetivos que integram o quadro de pessoal do </w:t>
      </w:r>
      <w:r w:rsidRPr="00C45FB2">
        <w:rPr>
          <w:rFonts w:ascii="Courier New" w:hAnsi="Courier New" w:cs="Courier New"/>
          <w:sz w:val="20"/>
          <w:szCs w:val="20"/>
        </w:rPr>
        <w:t>INTEIRAMA</w:t>
      </w:r>
      <w:r w:rsidRPr="00C45FB2">
        <w:rPr>
          <w:rFonts w:ascii="Courier New" w:hAnsi="Courier New" w:cs="Courier New"/>
          <w:sz w:val="20"/>
          <w:szCs w:val="20"/>
        </w:rPr>
        <w:t xml:space="preserve">. A lei, porém, não foi instruída com a devida estimativa de seu impacto financeiro e orçamentário, o que enseja sua inconstitucionalidade formal. 4. Considerando que a norma produziu efeitos e permitiu o pagamento de verbas remuneratórias de natureza alimentar a servidores </w:t>
      </w:r>
      <w:r w:rsidRPr="00C45FB2">
        <w:rPr>
          <w:rFonts w:ascii="Courier New" w:hAnsi="Courier New" w:cs="Courier New"/>
          <w:sz w:val="20"/>
          <w:szCs w:val="20"/>
        </w:rPr>
        <w:t>públicos do Estado, bem como que estão presentes os requisitos do art. 27 da Lei nº 9.868/99, a fim de preservar a segurança jurídica, faz-se necessária a modulação dos efeitos da decisão da presente ação direta de inconstitucionalidade, para que produza efeitos apenas a partir da publicação da ata do julgamento. 5. Ação direta de inconstitucionalidade da qual se conhece parcialmente e, quanto a essa parte, julgada procedente para declarar a inconstitucionalidade formal dos arts. 26, 27, 28, 29, 30, 31 e 33 da Lei 1.257/18 do Estado de Roraima, com efeitos ex nunc, a contar da data da publicação da ata do julgamento.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C45FB2">
        <w:rPr>
          <w:rFonts w:ascii="Courier New" w:hAnsi="Courier New" w:cs="Courier New"/>
          <w:sz w:val="20"/>
          <w:szCs w:val="20"/>
        </w:rPr>
        <w:t>(</w:t>
      </w:r>
      <w:r w:rsidRPr="00133C27">
        <w:rPr>
          <w:rFonts w:ascii="Courier New" w:hAnsi="Courier New" w:cs="Courier New"/>
          <w:b/>
          <w:bCs/>
          <w:sz w:val="20"/>
          <w:szCs w:val="20"/>
        </w:rPr>
        <w:t>STF</w:t>
      </w:r>
      <w:r w:rsidRPr="00C45FB2">
        <w:rPr>
          <w:rFonts w:ascii="Courier New" w:hAnsi="Courier New" w:cs="Courier New"/>
          <w:sz w:val="20"/>
          <w:szCs w:val="20"/>
        </w:rPr>
        <w:t xml:space="preserve"> - ADI: 6090 RR, Relator: DIAS TOFFOLI, Data de Julgamento: 13/06/2023, Tribunal Pleno, Data de Publicação: PROCESSO ELETRÔNICO </w:t>
      </w:r>
      <w:r w:rsidRPr="00C45FB2">
        <w:rPr>
          <w:rFonts w:ascii="Courier New" w:hAnsi="Courier New" w:cs="Courier New"/>
          <w:sz w:val="20"/>
          <w:szCs w:val="20"/>
        </w:rPr>
        <w:t>DJe</w:t>
      </w:r>
      <w:r w:rsidRPr="00C45FB2">
        <w:rPr>
          <w:rFonts w:ascii="Courier New" w:hAnsi="Courier New" w:cs="Courier New"/>
          <w:sz w:val="20"/>
          <w:szCs w:val="20"/>
        </w:rPr>
        <w:t xml:space="preserve">-s/n </w:t>
      </w:r>
      <w:r w:rsidRPr="00C45FB2">
        <w:rPr>
          <w:rFonts w:ascii="Courier New" w:hAnsi="Courier New" w:cs="Courier New"/>
          <w:sz w:val="20"/>
          <w:szCs w:val="20"/>
        </w:rPr>
        <w:t>DIVULG</w:t>
      </w:r>
      <w:r w:rsidRPr="00C45FB2">
        <w:rPr>
          <w:rFonts w:ascii="Courier New" w:hAnsi="Courier New" w:cs="Courier New"/>
          <w:sz w:val="20"/>
          <w:szCs w:val="20"/>
        </w:rPr>
        <w:t xml:space="preserve"> 27-06-2023 </w:t>
      </w:r>
      <w:r w:rsidRPr="00C45FB2">
        <w:rPr>
          <w:rFonts w:ascii="Courier New" w:hAnsi="Courier New" w:cs="Courier New"/>
          <w:sz w:val="20"/>
          <w:szCs w:val="20"/>
        </w:rPr>
        <w:t>PUBLIC</w:t>
      </w:r>
      <w:r w:rsidRPr="00C45FB2">
        <w:rPr>
          <w:rFonts w:ascii="Courier New" w:hAnsi="Courier New" w:cs="Courier New"/>
          <w:sz w:val="20"/>
          <w:szCs w:val="20"/>
        </w:rPr>
        <w:t xml:space="preserve"> 28-06-2023)</w:t>
      </w:r>
    </w:p>
    <w:p w:rsidR="00C45FB2" w:rsidP="00C45FB2" w14:paraId="055BF411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133C27" w:rsidP="00C45FB2" w14:paraId="33270845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C45FB2">
        <w:rPr>
          <w:rFonts w:ascii="Courier New" w:hAnsi="Courier New" w:cs="Courier New"/>
        </w:rPr>
        <w:t xml:space="preserve">O </w:t>
      </w:r>
      <w:r w:rsidRPr="00C45FB2">
        <w:rPr>
          <w:rFonts w:ascii="Courier New" w:hAnsi="Courier New" w:cs="Courier New"/>
          <w:b/>
          <w:bCs/>
        </w:rPr>
        <w:t>Superior Tribunal de Justiça (STJ)</w:t>
      </w:r>
      <w:r w:rsidRPr="00C45FB2">
        <w:rPr>
          <w:rFonts w:ascii="Courier New" w:hAnsi="Courier New" w:cs="Courier New"/>
        </w:rPr>
        <w:t xml:space="preserve"> possui entendimento firme de que a ordenação de despesa não autorizada em lei constitui ato de improbidade administrativa (REsp 1.625.075/SP)</w:t>
      </w:r>
      <w:r>
        <w:rPr>
          <w:rFonts w:ascii="Courier New" w:hAnsi="Courier New" w:cs="Courier New"/>
        </w:rPr>
        <w:t>:</w:t>
      </w:r>
    </w:p>
    <w:p w:rsidR="00133C27" w:rsidP="00C45FB2" w14:paraId="52751A0D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133C27" w:rsidRPr="003E5E0F" w:rsidP="00133C27" w14:paraId="2444C03E" w14:textId="5CC526B8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0"/>
          <w:szCs w:val="20"/>
        </w:rPr>
      </w:pPr>
      <w:r w:rsidRPr="00133C27">
        <w:rPr>
          <w:rFonts w:ascii="Courier New" w:hAnsi="Courier New" w:cs="Courier New"/>
          <w:sz w:val="20"/>
          <w:szCs w:val="20"/>
        </w:rPr>
        <w:t xml:space="preserve">RECURSO ESPECIAL Nº 1.625.075 - RJ (2016/0237783-8) RELATORA : MINISTRA NANCY ANDRIGHI RECORRENTE : ALEXANDRE PACHECO DANTAS ADVOGADO : RENATA LIZE FERNANDES DA SILVA E OUTRO (S) - RJ155708 RECORRIDO : AUTO VIAÇÃO BANGU LTDA ADVOGADO : CESAR AUGUSTO DE LIMA BRANDÃO GUIMARÃES E OUTRO (S) - RJ105578 PROCESSUAL CIVIL. RECURSO ESPECIAL. EMBARGOS DE DECLARAÇÃO INTERPOSTOS PERANTE O TRIBUNAL DE ORIGEM. OMISSÃO APTA, EM TESE, PARA A MODIFICAÇÃO DA CONCLUSÃO DO ACÓRDÃO RECORRIDO. AUSÊNCIA DE APRECIAÇÃO. 1. Caracteriza-se a negativa de prestação jurisdicional (violação do art. 535 do CPC/73 e art. 1.022 do CPC/15) nas hipóteses em que o Tribunal de origem, mesmo após a interposição de embargos de declaração, omite-se no exame de questão pertinente para a resolução da controvérsia. 2. Agravo conhecido. Recurso especial provido. DECISÃO Cuida-se de recurso especial interposto por ALEXANDRE PACHECO DANTAS, com fundamento nas alíneas a e c do permissivo constitucional. Recurso especial interposto em: 02/05/2016. Conclusão ao Gabinete em: 25/08/2016. Ação: indenizatória, ajuizada por ALEXANDRE PACHECO DANTAS, em face de AUTO VIAÇÃO BANGU, devido a acidente de trânsito que teria causado graves traumatismos ao recorrente. Sentença: julgou parcialmente procedente o pedido, para condenar a recorrida ao pagamento de pensão mensal no valor de R$ 800,00, pelo período de incapacidade total de 760 dias e pensão mensal vitalícia em valor correspondente a 75% de seus rendimentos (R$ 800,00), considerando o laudo pericial elaborado. Condenou ainda em R$ 30.000,00 a título de reparação dos danos morais e R$ 15.000,00 a título de indenização por dano estético, além da constituição do capital garantidor. Quanto aos tratamentos médicos e acompanhantes, consignou que estes não teriam sido satisfatoriamente demonstrados e, conforme destacado pelo perito do juízo, não estariam acompanhados </w:t>
      </w:r>
      <w:r w:rsidRPr="00133C27">
        <w:rPr>
          <w:rFonts w:ascii="Courier New" w:hAnsi="Courier New" w:cs="Courier New"/>
          <w:sz w:val="20"/>
          <w:szCs w:val="20"/>
        </w:rPr>
        <w:t>de documentos hábeis a comprovar os valores apontados. Além disso, que o recorrente teria sido atendido pela rede médica pública e, por isso, inexistiriam gastos a serem ressarcidos. Acórdão: negou provimento ao agravo interno interposto pelo recorrente, para manter a decisão unipessoal do relator, que majorou a verba compensatória para R$ 50.000,00, a indenização por dano estético para R$ 30.000,00 e manteve os demais capítulos da sentença. Embargos de declaração: interpostos pelo recorrente, foram rejeitados. Recurso especial: alega violação dos arts. 165, 458, II e 535, CPC/73, art. 1.022 do CPC/15, art. 949 do CC/02, bem como dissídio jurisprudencial. Sustenta que o acórdão fora omisso quanto à questão envolvendo os tratamentos médicos invocada pelo recorrente. Admissibilidade: o recurso foi admitido na origem pelo TJ/RJ. Relatado o processo, decide-se. - Julgamento: CPC/15 - Da negativa de prestação jurisdicional As razões recursais tecidas acerca da suposta omissão do Tribunal de origem residem na alegação de que o TJ/RJ, apesar de instado a se manifestar por meio de embargos declaratórios, quedou-se silente no que concerne aos tratamentos médicos invocados pelo recorrente. Da análise do processo, verifica-se, de fato, que o Tribunal a quo, ao julgar os embargos de declaração opostos pelo recorrente, não se manifestou acerca dessa questão. Assim, fica reconhecida a omissão perpetrada pelo TJ/RJ em questão relevante, determinando o retorno dos autos àquele Tribunal para que se manifeste sobre o tema. Forte nessas razões, CONHEÇO do recurso especial e DOU-LHE PROVIMENTO, para cassar o acórdão que julgou os embargos de declaração opostos pelo recorrente e determinar o retorno dos autos ao TJ/RJ, a fim de que este se pronuncie, na esteira do devido processo legal, acerca da questão acima especificada. Publique-se. Intimem-se. Brasília, 14 de outubro de 2016. MINISTRA NANCY ANDRIGHI Relatora</w:t>
      </w:r>
      <w:r>
        <w:rPr>
          <w:rFonts w:ascii="Courier New" w:hAnsi="Courier New" w:cs="Courier New"/>
          <w:sz w:val="20"/>
          <w:szCs w:val="20"/>
        </w:rPr>
        <w:t xml:space="preserve">. </w:t>
      </w:r>
      <w:r w:rsidRPr="00133C27">
        <w:rPr>
          <w:rFonts w:ascii="Courier New" w:hAnsi="Courier New" w:cs="Courier New"/>
          <w:sz w:val="20"/>
          <w:szCs w:val="20"/>
        </w:rPr>
        <w:t>(</w:t>
      </w:r>
      <w:r w:rsidRPr="00133C27">
        <w:rPr>
          <w:rFonts w:ascii="Courier New" w:hAnsi="Courier New" w:cs="Courier New"/>
          <w:b/>
          <w:bCs/>
          <w:sz w:val="20"/>
          <w:szCs w:val="20"/>
        </w:rPr>
        <w:t>STJ</w:t>
      </w:r>
      <w:r w:rsidRPr="00133C27">
        <w:rPr>
          <w:rFonts w:ascii="Courier New" w:hAnsi="Courier New" w:cs="Courier New"/>
          <w:sz w:val="20"/>
          <w:szCs w:val="20"/>
        </w:rPr>
        <w:t xml:space="preserve"> - REsp: 1625075 RJ 2016/0237783-8, Relator: Ministra NANCY ANDRIGHI, Data de Publicação: DJ 19/10/2016)</w:t>
      </w:r>
    </w:p>
    <w:p w:rsidR="00133C27" w:rsidP="00C45FB2" w14:paraId="3D8002D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865283" w:rsidP="00B86888" w14:paraId="42B28596" w14:textId="665892A1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65283">
        <w:rPr>
          <w:rFonts w:ascii="Courier New" w:hAnsi="Courier New" w:cs="Courier New"/>
        </w:rPr>
        <w:t>Em última análise, a propositura visa obstar o fenômeno da "lei morta", protegendo a integridade do sistema jurídico contra a frustração das expectativas sociais. Ao exigir que a execução material ocorra em sintonia com o planejamento orçamentário apreciado por esta Casa, a norma atende ao princípio da moralidade e da boa-fé objetiva administrativa, impedindo que o Estado assuma obrigações sem a devida contrapartida de recursos.</w:t>
      </w:r>
      <w:r w:rsidR="00287BFE">
        <w:rPr>
          <w:rFonts w:ascii="Courier New" w:hAnsi="Courier New" w:cs="Courier New"/>
        </w:rPr>
        <w:t xml:space="preserve"> </w:t>
      </w:r>
      <w:r w:rsidRPr="00865283">
        <w:rPr>
          <w:rFonts w:ascii="Courier New" w:hAnsi="Courier New" w:cs="Courier New"/>
        </w:rPr>
        <w:t>Assim, a emenda atua como um filtro de legalidade e responsabilidade, garantindo que a proteção aos direitos nela previstos transite do plano da validade para o plano da eficácia social, conferindo real utilidade ao labor legislativo e segurança ao erário.</w:t>
      </w:r>
    </w:p>
    <w:sectPr w:rsidSect="006F4BC5">
      <w:headerReference w:type="default" r:id="rId6"/>
      <w:footerReference w:type="default" r:id="rId7"/>
      <w:pgSz w:w="11906" w:h="16838"/>
      <w:pgMar w:top="1985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0942106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ourier New" w:hAnsi="Courier New" w:cs="Courier New"/>
            <w:sz w:val="20"/>
            <w:szCs w:val="20"/>
          </w:rPr>
        </w:sdtEndPr>
        <w:sdtContent>
          <w:p w:rsidR="000E3FEE" w:rsidRPr="000E3FEE" w14:paraId="1FE158F6" w14:textId="209C1FAB">
            <w:pPr>
              <w:pStyle w:val="Footer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Página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PAGE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5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 de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NUMPAGES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5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E3FEE" w:rsidP="000E3FEE" w14:paraId="7680C515" w14:textId="77777777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Rua Dr. Jose Alves, nº 129, centro, Mogi Mirim/SP</w:t>
    </w:r>
  </w:p>
  <w:p w:rsidR="000E3FEE" w:rsidRPr="007256BA" w:rsidP="000E3FEE" w14:paraId="04315374" w14:textId="0110A46E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RPr="007256BA" w:rsidP="006F4BC5" w14:paraId="6ABFBAB7" w14:textId="5F87F895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-171450</wp:posOffset>
          </wp:positionV>
          <wp:extent cx="1036320" cy="754380"/>
          <wp:effectExtent l="0" t="0" r="0" b="762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57381F" w:rsidRPr="0057381F" w:rsidP="006F4BC5" w14:paraId="474ADD54" w14:textId="6F192889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4B68"/>
    <w:multiLevelType w:val="hybridMultilevel"/>
    <w:tmpl w:val="FF90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23238"/>
    <w:multiLevelType w:val="multilevel"/>
    <w:tmpl w:val="8AB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A605F"/>
    <w:multiLevelType w:val="multilevel"/>
    <w:tmpl w:val="F41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2B0BF6"/>
    <w:multiLevelType w:val="multilevel"/>
    <w:tmpl w:val="254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D743B"/>
    <w:multiLevelType w:val="multilevel"/>
    <w:tmpl w:val="8D6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04C95"/>
    <w:rsid w:val="00023049"/>
    <w:rsid w:val="00031283"/>
    <w:rsid w:val="000421FA"/>
    <w:rsid w:val="000703D1"/>
    <w:rsid w:val="00090835"/>
    <w:rsid w:val="000A07E1"/>
    <w:rsid w:val="000A70D0"/>
    <w:rsid w:val="000C21DC"/>
    <w:rsid w:val="000C4F9D"/>
    <w:rsid w:val="000D3816"/>
    <w:rsid w:val="000E19EC"/>
    <w:rsid w:val="000E2239"/>
    <w:rsid w:val="000E3FEE"/>
    <w:rsid w:val="00100381"/>
    <w:rsid w:val="00105967"/>
    <w:rsid w:val="0011792B"/>
    <w:rsid w:val="00120BB5"/>
    <w:rsid w:val="00133C27"/>
    <w:rsid w:val="001536DE"/>
    <w:rsid w:val="00157C20"/>
    <w:rsid w:val="001915A3"/>
    <w:rsid w:val="001A2496"/>
    <w:rsid w:val="001A2AB0"/>
    <w:rsid w:val="001A73C9"/>
    <w:rsid w:val="001A73F6"/>
    <w:rsid w:val="001B334F"/>
    <w:rsid w:val="001B5DF1"/>
    <w:rsid w:val="001C2EDB"/>
    <w:rsid w:val="001D5D07"/>
    <w:rsid w:val="001E7598"/>
    <w:rsid w:val="001F178F"/>
    <w:rsid w:val="001F73D7"/>
    <w:rsid w:val="00200886"/>
    <w:rsid w:val="00214126"/>
    <w:rsid w:val="002167D0"/>
    <w:rsid w:val="00217F62"/>
    <w:rsid w:val="00220FF3"/>
    <w:rsid w:val="00221A63"/>
    <w:rsid w:val="00244940"/>
    <w:rsid w:val="0025004F"/>
    <w:rsid w:val="00251F14"/>
    <w:rsid w:val="0025595B"/>
    <w:rsid w:val="002575B7"/>
    <w:rsid w:val="00265037"/>
    <w:rsid w:val="00266484"/>
    <w:rsid w:val="002800AF"/>
    <w:rsid w:val="00287BFE"/>
    <w:rsid w:val="002B4B31"/>
    <w:rsid w:val="002D2685"/>
    <w:rsid w:val="002D3B35"/>
    <w:rsid w:val="002F23A7"/>
    <w:rsid w:val="002F2E8D"/>
    <w:rsid w:val="002F3DFE"/>
    <w:rsid w:val="002F4F02"/>
    <w:rsid w:val="00301359"/>
    <w:rsid w:val="0030701D"/>
    <w:rsid w:val="003074DC"/>
    <w:rsid w:val="00323CA8"/>
    <w:rsid w:val="003370C3"/>
    <w:rsid w:val="00352BBA"/>
    <w:rsid w:val="0037287D"/>
    <w:rsid w:val="00382C5B"/>
    <w:rsid w:val="003A0FD7"/>
    <w:rsid w:val="003A19CC"/>
    <w:rsid w:val="003A484B"/>
    <w:rsid w:val="003D47DC"/>
    <w:rsid w:val="003D4A8E"/>
    <w:rsid w:val="003D51AC"/>
    <w:rsid w:val="003E04B5"/>
    <w:rsid w:val="003E5E0F"/>
    <w:rsid w:val="003F2FA4"/>
    <w:rsid w:val="003F6F42"/>
    <w:rsid w:val="003F7CC3"/>
    <w:rsid w:val="00405859"/>
    <w:rsid w:val="004146F8"/>
    <w:rsid w:val="00415159"/>
    <w:rsid w:val="00424CF2"/>
    <w:rsid w:val="0042728E"/>
    <w:rsid w:val="00430D0C"/>
    <w:rsid w:val="00441401"/>
    <w:rsid w:val="00446C02"/>
    <w:rsid w:val="00446FED"/>
    <w:rsid w:val="004513CB"/>
    <w:rsid w:val="004610B1"/>
    <w:rsid w:val="00465D8F"/>
    <w:rsid w:val="00473091"/>
    <w:rsid w:val="00482EA4"/>
    <w:rsid w:val="00487E4F"/>
    <w:rsid w:val="00496629"/>
    <w:rsid w:val="004A3FBC"/>
    <w:rsid w:val="004A5220"/>
    <w:rsid w:val="004B027A"/>
    <w:rsid w:val="004C3D72"/>
    <w:rsid w:val="004C716F"/>
    <w:rsid w:val="004D1B0C"/>
    <w:rsid w:val="004F1F2F"/>
    <w:rsid w:val="00504C91"/>
    <w:rsid w:val="00516E4A"/>
    <w:rsid w:val="005276DC"/>
    <w:rsid w:val="00567B59"/>
    <w:rsid w:val="0057381F"/>
    <w:rsid w:val="00594AEB"/>
    <w:rsid w:val="00595899"/>
    <w:rsid w:val="00596358"/>
    <w:rsid w:val="005A29C0"/>
    <w:rsid w:val="005A66EE"/>
    <w:rsid w:val="005A7A11"/>
    <w:rsid w:val="005C15F8"/>
    <w:rsid w:val="005C4E40"/>
    <w:rsid w:val="005C7EA4"/>
    <w:rsid w:val="005D3F61"/>
    <w:rsid w:val="005E6E2D"/>
    <w:rsid w:val="005F47CF"/>
    <w:rsid w:val="00604E8B"/>
    <w:rsid w:val="006057BE"/>
    <w:rsid w:val="00617D7D"/>
    <w:rsid w:val="00621133"/>
    <w:rsid w:val="00632DF6"/>
    <w:rsid w:val="00640213"/>
    <w:rsid w:val="00650210"/>
    <w:rsid w:val="006527A9"/>
    <w:rsid w:val="00654C95"/>
    <w:rsid w:val="006622E5"/>
    <w:rsid w:val="00663F95"/>
    <w:rsid w:val="006717AD"/>
    <w:rsid w:val="00672640"/>
    <w:rsid w:val="00681FD9"/>
    <w:rsid w:val="006907CC"/>
    <w:rsid w:val="006A4085"/>
    <w:rsid w:val="006A7F69"/>
    <w:rsid w:val="006B67D9"/>
    <w:rsid w:val="006B79C1"/>
    <w:rsid w:val="006D1C8B"/>
    <w:rsid w:val="006E0D88"/>
    <w:rsid w:val="006E30EE"/>
    <w:rsid w:val="006F4BC5"/>
    <w:rsid w:val="006F6186"/>
    <w:rsid w:val="007055A6"/>
    <w:rsid w:val="007120E5"/>
    <w:rsid w:val="00721F76"/>
    <w:rsid w:val="007256BA"/>
    <w:rsid w:val="007809AF"/>
    <w:rsid w:val="00793383"/>
    <w:rsid w:val="007A4112"/>
    <w:rsid w:val="007B6A5F"/>
    <w:rsid w:val="007C10C3"/>
    <w:rsid w:val="007C1937"/>
    <w:rsid w:val="007D4A00"/>
    <w:rsid w:val="007F452D"/>
    <w:rsid w:val="007F58FD"/>
    <w:rsid w:val="007F67D4"/>
    <w:rsid w:val="008079A0"/>
    <w:rsid w:val="00822C2F"/>
    <w:rsid w:val="00825C83"/>
    <w:rsid w:val="00833EAC"/>
    <w:rsid w:val="008403EA"/>
    <w:rsid w:val="00857231"/>
    <w:rsid w:val="00865283"/>
    <w:rsid w:val="00865FD2"/>
    <w:rsid w:val="008714B3"/>
    <w:rsid w:val="00875D97"/>
    <w:rsid w:val="008867EC"/>
    <w:rsid w:val="00890664"/>
    <w:rsid w:val="00894201"/>
    <w:rsid w:val="0089485B"/>
    <w:rsid w:val="00896562"/>
    <w:rsid w:val="008A216E"/>
    <w:rsid w:val="008A6999"/>
    <w:rsid w:val="008B362B"/>
    <w:rsid w:val="008B3AC0"/>
    <w:rsid w:val="008B6F44"/>
    <w:rsid w:val="008C0131"/>
    <w:rsid w:val="008D44CE"/>
    <w:rsid w:val="008E0D7F"/>
    <w:rsid w:val="008E144E"/>
    <w:rsid w:val="008E64D0"/>
    <w:rsid w:val="008F20CC"/>
    <w:rsid w:val="009003F2"/>
    <w:rsid w:val="00905C46"/>
    <w:rsid w:val="00920C58"/>
    <w:rsid w:val="00926AE9"/>
    <w:rsid w:val="00930895"/>
    <w:rsid w:val="0096605B"/>
    <w:rsid w:val="00975B6A"/>
    <w:rsid w:val="00975EAD"/>
    <w:rsid w:val="009825E2"/>
    <w:rsid w:val="00982996"/>
    <w:rsid w:val="00996BD3"/>
    <w:rsid w:val="009A0EF9"/>
    <w:rsid w:val="009A3DEB"/>
    <w:rsid w:val="009A65E0"/>
    <w:rsid w:val="009B255B"/>
    <w:rsid w:val="009B2D4F"/>
    <w:rsid w:val="009D30B3"/>
    <w:rsid w:val="009D469E"/>
    <w:rsid w:val="009D5B0A"/>
    <w:rsid w:val="009E32BE"/>
    <w:rsid w:val="009E395E"/>
    <w:rsid w:val="009F102D"/>
    <w:rsid w:val="009F1131"/>
    <w:rsid w:val="009F1253"/>
    <w:rsid w:val="009F2951"/>
    <w:rsid w:val="00A106A0"/>
    <w:rsid w:val="00A10812"/>
    <w:rsid w:val="00A25264"/>
    <w:rsid w:val="00A259AA"/>
    <w:rsid w:val="00A33B5B"/>
    <w:rsid w:val="00A35653"/>
    <w:rsid w:val="00A56A8E"/>
    <w:rsid w:val="00A60081"/>
    <w:rsid w:val="00A67537"/>
    <w:rsid w:val="00A70CD9"/>
    <w:rsid w:val="00A906D8"/>
    <w:rsid w:val="00A92995"/>
    <w:rsid w:val="00A943C5"/>
    <w:rsid w:val="00A96F90"/>
    <w:rsid w:val="00AA448D"/>
    <w:rsid w:val="00AB5A74"/>
    <w:rsid w:val="00AB7855"/>
    <w:rsid w:val="00AC4924"/>
    <w:rsid w:val="00AD7B6B"/>
    <w:rsid w:val="00B04D1C"/>
    <w:rsid w:val="00B11892"/>
    <w:rsid w:val="00B318DF"/>
    <w:rsid w:val="00B360BC"/>
    <w:rsid w:val="00B416D2"/>
    <w:rsid w:val="00B4504C"/>
    <w:rsid w:val="00B54594"/>
    <w:rsid w:val="00B74677"/>
    <w:rsid w:val="00B80608"/>
    <w:rsid w:val="00B86888"/>
    <w:rsid w:val="00B878A6"/>
    <w:rsid w:val="00B939E9"/>
    <w:rsid w:val="00B93F19"/>
    <w:rsid w:val="00BA4DF6"/>
    <w:rsid w:val="00BA52AC"/>
    <w:rsid w:val="00BB46F9"/>
    <w:rsid w:val="00BC06BF"/>
    <w:rsid w:val="00BC65F7"/>
    <w:rsid w:val="00BF43D6"/>
    <w:rsid w:val="00BF53DF"/>
    <w:rsid w:val="00BF574A"/>
    <w:rsid w:val="00C04B4D"/>
    <w:rsid w:val="00C061CE"/>
    <w:rsid w:val="00C14B17"/>
    <w:rsid w:val="00C315C8"/>
    <w:rsid w:val="00C335F4"/>
    <w:rsid w:val="00C36C4A"/>
    <w:rsid w:val="00C40DE6"/>
    <w:rsid w:val="00C41719"/>
    <w:rsid w:val="00C45FB2"/>
    <w:rsid w:val="00C4695C"/>
    <w:rsid w:val="00C51134"/>
    <w:rsid w:val="00C5142B"/>
    <w:rsid w:val="00C67FDB"/>
    <w:rsid w:val="00C86865"/>
    <w:rsid w:val="00C871FD"/>
    <w:rsid w:val="00C9070D"/>
    <w:rsid w:val="00C969C4"/>
    <w:rsid w:val="00CB657A"/>
    <w:rsid w:val="00CC22BD"/>
    <w:rsid w:val="00CF4808"/>
    <w:rsid w:val="00D076A2"/>
    <w:rsid w:val="00D20622"/>
    <w:rsid w:val="00D239D1"/>
    <w:rsid w:val="00D23D6A"/>
    <w:rsid w:val="00D311C9"/>
    <w:rsid w:val="00D37305"/>
    <w:rsid w:val="00D640B7"/>
    <w:rsid w:val="00D71CA5"/>
    <w:rsid w:val="00D734BC"/>
    <w:rsid w:val="00D76178"/>
    <w:rsid w:val="00D95E97"/>
    <w:rsid w:val="00DA0F30"/>
    <w:rsid w:val="00DB1B02"/>
    <w:rsid w:val="00DC43EB"/>
    <w:rsid w:val="00DC5E39"/>
    <w:rsid w:val="00DD0D61"/>
    <w:rsid w:val="00DE1A1C"/>
    <w:rsid w:val="00DE727D"/>
    <w:rsid w:val="00E17FF1"/>
    <w:rsid w:val="00E2690C"/>
    <w:rsid w:val="00E304D4"/>
    <w:rsid w:val="00E34A76"/>
    <w:rsid w:val="00E37842"/>
    <w:rsid w:val="00E442BE"/>
    <w:rsid w:val="00E506B1"/>
    <w:rsid w:val="00E54057"/>
    <w:rsid w:val="00E656DC"/>
    <w:rsid w:val="00E65E22"/>
    <w:rsid w:val="00E836C7"/>
    <w:rsid w:val="00E90EE1"/>
    <w:rsid w:val="00EA3985"/>
    <w:rsid w:val="00EA3A02"/>
    <w:rsid w:val="00EA578E"/>
    <w:rsid w:val="00EB78EB"/>
    <w:rsid w:val="00EC23F4"/>
    <w:rsid w:val="00ED0A64"/>
    <w:rsid w:val="00ED10CA"/>
    <w:rsid w:val="00ED2039"/>
    <w:rsid w:val="00ED700C"/>
    <w:rsid w:val="00EE533B"/>
    <w:rsid w:val="00EF1478"/>
    <w:rsid w:val="00F071AE"/>
    <w:rsid w:val="00F13CBC"/>
    <w:rsid w:val="00F621DE"/>
    <w:rsid w:val="00F62626"/>
    <w:rsid w:val="00F73A3D"/>
    <w:rsid w:val="00F80818"/>
    <w:rsid w:val="00F81241"/>
    <w:rsid w:val="00F86552"/>
    <w:rsid w:val="00F87122"/>
    <w:rsid w:val="00F95540"/>
    <w:rsid w:val="00FA140D"/>
    <w:rsid w:val="00FA680C"/>
    <w:rsid w:val="00FA6F3A"/>
    <w:rsid w:val="00FB0DF0"/>
    <w:rsid w:val="00FB2122"/>
    <w:rsid w:val="00FB445C"/>
    <w:rsid w:val="00FD1905"/>
    <w:rsid w:val="00FD1CF7"/>
    <w:rsid w:val="00FD3DDE"/>
    <w:rsid w:val="00FD6348"/>
    <w:rsid w:val="00FD7C70"/>
    <w:rsid w:val="00FE7462"/>
    <w:rsid w:val="00FF1068"/>
    <w:rsid w:val="00FF1AC5"/>
    <w:rsid w:val="00FF2210"/>
    <w:rsid w:val="00FF2D88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C27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5</Pages>
  <Words>1717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Eric Cavaca</cp:lastModifiedBy>
  <cp:revision>127</cp:revision>
  <cp:lastPrinted>2026-04-13T12:24:10Z</cp:lastPrinted>
  <dcterms:created xsi:type="dcterms:W3CDTF">2025-03-11T18:20:00Z</dcterms:created>
  <dcterms:modified xsi:type="dcterms:W3CDTF">2026-04-13T00:02:00Z</dcterms:modified>
</cp:coreProperties>
</file>