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2 ao Projeto de Lei Complementar Nº 1/2026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2 ao Projeto de Lei Complementar Nº 1/2026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016F37D2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C315C8">
        <w:rPr>
          <w:rFonts w:ascii="Courier New" w:hAnsi="Courier New" w:cs="Courier New"/>
          <w:i/>
          <w:iCs/>
          <w:kern w:val="3"/>
        </w:rPr>
        <w:t>EMENDA MODIFICATIVA AO PROJETO DE LEI</w:t>
      </w:r>
      <w:r w:rsidR="00093045">
        <w:rPr>
          <w:rFonts w:ascii="Courier New" w:hAnsi="Courier New" w:cs="Courier New"/>
          <w:i/>
          <w:iCs/>
          <w:kern w:val="3"/>
        </w:rPr>
        <w:t xml:space="preserve"> COMPLEMENTAR</w:t>
      </w:r>
      <w:r w:rsidRPr="00C315C8">
        <w:rPr>
          <w:rFonts w:ascii="Courier New" w:hAnsi="Courier New" w:cs="Courier New"/>
          <w:i/>
          <w:iCs/>
          <w:kern w:val="3"/>
        </w:rPr>
        <w:t xml:space="preserve"> Nº 1/2026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68EEF6C5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093045">
        <w:rPr>
          <w:rFonts w:ascii="Courier New" w:hAnsi="Courier New" w:cs="Courier New"/>
        </w:rPr>
        <w:t>Dá-se nova redação ao caput do Art. 5º do Projeto de Lei Complementar nº 01/2026, que passa a vigorar da seguinte forma: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093045" w:rsidRPr="00093045" w:rsidP="00093045" w14:paraId="61C28CD1" w14:textId="396549A3">
      <w:pPr>
        <w:spacing w:before="120" w:after="1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C315C8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5</w:t>
      </w:r>
      <w:r w:rsidRPr="00C315C8">
        <w:rPr>
          <w:rFonts w:ascii="Courier New" w:hAnsi="Courier New" w:cs="Courier New"/>
          <w:b/>
          <w:bCs/>
        </w:rPr>
        <w:t>º</w:t>
      </w:r>
      <w:r w:rsidRPr="00C315C8">
        <w:rPr>
          <w:rFonts w:ascii="Courier New" w:hAnsi="Courier New" w:cs="Courier New"/>
        </w:rPr>
        <w:t xml:space="preserve"> </w:t>
      </w:r>
      <w:r w:rsidRPr="00093045">
        <w:rPr>
          <w:rFonts w:ascii="Courier New" w:hAnsi="Courier New" w:cs="Courier New"/>
        </w:rPr>
        <w:t>A gestão, a operação e a manutenção das Soluções Alternativas Coletivas (SAC) de abastecimento de água e dos sistemas coletivos de esgotamento sanitário implantados na zona rural serão de responsabilidade indelegável do Serviço Autônomo de Água e Esgotos de Mogi Mirim (SAAE), aplicando-se a estrutura tarifária e de subsídios do município de forma isonômica, ficando sem efeito qualquer disposição em contrário constante nos anexos deste Plano</w:t>
      </w:r>
      <w:r>
        <w:rPr>
          <w:rFonts w:ascii="Courier New" w:hAnsi="Courier New" w:cs="Courier New"/>
        </w:rPr>
        <w:t xml:space="preserve"> </w:t>
      </w:r>
      <w:r w:rsidRPr="00093045">
        <w:rPr>
          <w:rFonts w:ascii="Courier New" w:hAnsi="Courier New" w:cs="Courier New"/>
        </w:rPr>
        <w:t>e somente poderão ser objeto de concessão à iniciativa privada mediante consulta popular por meio de plebiscito.</w:t>
      </w:r>
    </w:p>
    <w:p w:rsidR="008F20CC" w:rsidP="006A4085" w14:paraId="41888B5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081E2884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</w:t>
      </w:r>
      <w:r w:rsidRPr="00424CF2">
        <w:rPr>
          <w:rFonts w:ascii="Courier New" w:hAnsi="Courier New" w:cs="Courier New"/>
          <w:i/>
          <w:iCs/>
        </w:rPr>
        <w:t>Róttoli</w:t>
      </w:r>
      <w:r w:rsidRPr="00424CF2">
        <w:rPr>
          <w:rFonts w:ascii="Courier New" w:hAnsi="Courier New" w:cs="Courier New"/>
          <w:i/>
          <w:iCs/>
        </w:rPr>
        <w:t xml:space="preserve">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462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992C14" w:rsidP="00DC5E39" w14:paraId="600FBE43" w14:textId="6573326C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992C14">
        <w:rPr>
          <w:rFonts w:ascii="Courier New" w:hAnsi="Courier New" w:cs="Courier New"/>
        </w:rPr>
        <w:t xml:space="preserve">A presente emenda revela-se como medida de rigorosa observância ao ordenamento jurídico pátrio, visando resguardar a higidez do Plano Municipal de Saneamento Rural em estreita consonância com o princípio da </w:t>
      </w:r>
      <w:r w:rsidRPr="00992C14">
        <w:rPr>
          <w:rFonts w:ascii="Courier New" w:hAnsi="Courier New" w:cs="Courier New"/>
          <w:b/>
          <w:bCs/>
        </w:rPr>
        <w:t>Dignidade da Pessoa Humana</w:t>
      </w:r>
      <w:r w:rsidRPr="00992C14">
        <w:rPr>
          <w:rFonts w:ascii="Courier New" w:hAnsi="Courier New" w:cs="Courier New"/>
        </w:rPr>
        <w:t xml:space="preserve"> e da </w:t>
      </w:r>
      <w:r w:rsidRPr="00992C14">
        <w:rPr>
          <w:rFonts w:ascii="Courier New" w:hAnsi="Courier New" w:cs="Courier New"/>
          <w:b/>
          <w:bCs/>
        </w:rPr>
        <w:t>Universalização do Acesso ao Saneamento Básico</w:t>
      </w:r>
      <w:r w:rsidRPr="00992C14">
        <w:rPr>
          <w:rFonts w:ascii="Courier New" w:hAnsi="Courier New" w:cs="Courier New"/>
        </w:rPr>
        <w:t>.</w:t>
      </w:r>
    </w:p>
    <w:p w:rsidR="00992C14" w:rsidP="00992C14" w14:paraId="66A8668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992C14">
        <w:rPr>
          <w:rFonts w:ascii="Courier New" w:hAnsi="Courier New" w:cs="Courier New"/>
        </w:rPr>
        <w:t xml:space="preserve">A tentativa de transferir o ônus da operação e manutenção dos sistemas às comunidades locais configura nítida ofensa ao princípio da </w:t>
      </w:r>
      <w:r w:rsidRPr="00992C14">
        <w:rPr>
          <w:rFonts w:ascii="Courier New" w:hAnsi="Courier New" w:cs="Courier New"/>
          <w:b/>
          <w:bCs/>
        </w:rPr>
        <w:t>Eficiência</w:t>
      </w:r>
      <w:r w:rsidRPr="00992C14">
        <w:rPr>
          <w:rFonts w:ascii="Courier New" w:hAnsi="Courier New" w:cs="Courier New"/>
        </w:rPr>
        <w:t xml:space="preserve"> e da </w:t>
      </w:r>
      <w:r w:rsidRPr="00992C14">
        <w:rPr>
          <w:rFonts w:ascii="Courier New" w:hAnsi="Courier New" w:cs="Courier New"/>
          <w:b/>
          <w:bCs/>
        </w:rPr>
        <w:t>Continuidade do Serviço Público</w:t>
      </w:r>
      <w:r w:rsidRPr="00992C14">
        <w:rPr>
          <w:rFonts w:ascii="Courier New" w:hAnsi="Courier New" w:cs="Courier New"/>
        </w:rPr>
        <w:t>, caracterizando uma indevida desoneração das obrigações inerentes ao Poder Público.</w:t>
      </w:r>
    </w:p>
    <w:p w:rsidR="00992C14" w:rsidP="00992C14" w14:paraId="335CD923" w14:textId="64FA1DB4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Fato é que o</w:t>
      </w:r>
      <w:r w:rsidRPr="00992C14">
        <w:rPr>
          <w:rFonts w:ascii="Courier New" w:hAnsi="Courier New" w:cs="Courier New"/>
        </w:rPr>
        <w:t xml:space="preserve"> texto original, na página 513, propõe que, após a instalação da infraestrutura, "a operação e a manutenção fiquem sob responsabilidade das comunidades locais, organizadas em associações" que deverão arrecadar uma "tarifa mensal entre os usuários". </w:t>
      </w:r>
      <w:r>
        <w:rPr>
          <w:rFonts w:ascii="Courier New" w:hAnsi="Courier New" w:cs="Courier New"/>
        </w:rPr>
        <w:t>Então, pode-se ver no</w:t>
      </w:r>
      <w:r w:rsidRPr="00992C14">
        <w:rPr>
          <w:rFonts w:ascii="Courier New" w:hAnsi="Courier New" w:cs="Courier New"/>
        </w:rPr>
        <w:t xml:space="preserve"> próprio diagnóstico do plano (</w:t>
      </w:r>
      <w:r w:rsidRPr="00992C14">
        <w:rPr>
          <w:rFonts w:ascii="Courier New" w:hAnsi="Courier New" w:cs="Courier New"/>
          <w:i/>
          <w:iCs/>
        </w:rPr>
        <w:t>página 274</w:t>
      </w:r>
      <w:r w:rsidRPr="00992C14">
        <w:rPr>
          <w:rFonts w:ascii="Courier New" w:hAnsi="Courier New" w:cs="Courier New"/>
        </w:rPr>
        <w:t>) alerta para o perigo desse modelo, citando o caso do assentamento Vergel, onde a gestão já é de responsabilidade dos moradores e ocorre de forma "precária". O texto chega a citar que o Programa Nacional de Saneamento Rural (</w:t>
      </w:r>
      <w:r w:rsidRPr="00992C14">
        <w:rPr>
          <w:rFonts w:ascii="Courier New" w:hAnsi="Courier New" w:cs="Courier New"/>
        </w:rPr>
        <w:t>PNSR</w:t>
      </w:r>
      <w:r w:rsidRPr="00992C14">
        <w:rPr>
          <w:rFonts w:ascii="Courier New" w:hAnsi="Courier New" w:cs="Courier New"/>
        </w:rPr>
        <w:t xml:space="preserve">) "recomenda que estruturas de autogestão sejam evitadas, uma vez que a população tem dificuldades de operar tais sistemas sem apoio estatal, e o resultado mais comum é o abandono". </w:t>
      </w:r>
      <w:r w:rsidRPr="00992C14">
        <w:rPr>
          <w:rFonts w:ascii="Courier New" w:hAnsi="Courier New" w:cs="Courier New"/>
          <w:b/>
          <w:bCs/>
        </w:rPr>
        <w:t>Ou seja, o plano propõe um modelo que sua própria fundamentação técnica desaconselha</w:t>
      </w:r>
      <w:r w:rsidRPr="00992C14">
        <w:rPr>
          <w:rFonts w:ascii="Courier New" w:hAnsi="Courier New" w:cs="Courier New"/>
        </w:rPr>
        <w:t>.</w:t>
      </w:r>
    </w:p>
    <w:p w:rsidR="00992C14" w:rsidP="00992C14" w14:paraId="053DD8D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992C14">
        <w:rPr>
          <w:rFonts w:ascii="Courier New" w:hAnsi="Courier New" w:cs="Courier New"/>
        </w:rPr>
        <w:t xml:space="preserve">Tal estratégia ignora o diagnóstico técnico coligido e coloca em xeque a perenidade do sistema, vulnerando o postulado da </w:t>
      </w:r>
      <w:r w:rsidRPr="00992C14">
        <w:rPr>
          <w:rFonts w:ascii="Courier New" w:hAnsi="Courier New" w:cs="Courier New"/>
          <w:b/>
          <w:bCs/>
        </w:rPr>
        <w:t>Vedação ao Retrocesso Social</w:t>
      </w:r>
      <w:r w:rsidRPr="00992C14">
        <w:rPr>
          <w:rFonts w:ascii="Courier New" w:hAnsi="Courier New" w:cs="Courier New"/>
        </w:rPr>
        <w:t>.</w:t>
      </w:r>
    </w:p>
    <w:p w:rsidR="00992C14" w:rsidP="00992C14" w14:paraId="657A4011" w14:textId="77C27169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992C14">
        <w:rPr>
          <w:rFonts w:ascii="Courier New" w:hAnsi="Courier New" w:cs="Courier New"/>
        </w:rPr>
        <w:t xml:space="preserve">Ao incumbir o SAAE de tais atribuições, prestigia-se a </w:t>
      </w:r>
      <w:r w:rsidRPr="00992C14">
        <w:rPr>
          <w:rFonts w:ascii="Courier New" w:hAnsi="Courier New" w:cs="Courier New"/>
          <w:i/>
          <w:iCs/>
        </w:rPr>
        <w:t>expertise</w:t>
      </w:r>
      <w:r w:rsidRPr="00992C14">
        <w:rPr>
          <w:rFonts w:ascii="Courier New" w:hAnsi="Courier New" w:cs="Courier New"/>
        </w:rPr>
        <w:t xml:space="preserve"> administrativa e o princípio da </w:t>
      </w:r>
      <w:r w:rsidRPr="00992C14">
        <w:rPr>
          <w:rFonts w:ascii="Courier New" w:hAnsi="Courier New" w:cs="Courier New"/>
          <w:b/>
          <w:bCs/>
        </w:rPr>
        <w:t>Modicidade Das Tarifas</w:t>
      </w:r>
      <w:r w:rsidRPr="00992C14">
        <w:rPr>
          <w:rFonts w:ascii="Courier New" w:hAnsi="Courier New" w:cs="Courier New"/>
        </w:rPr>
        <w:t xml:space="preserve">, garantindo que o direito fundamental ao saneamento não seja reduzido a uma promessa platônica, mas sim efetivado sob o manto da </w:t>
      </w:r>
      <w:r w:rsidRPr="00992C14">
        <w:rPr>
          <w:rFonts w:ascii="Courier New" w:hAnsi="Courier New" w:cs="Courier New"/>
          <w:b/>
          <w:bCs/>
        </w:rPr>
        <w:t>Segurança Jurídica</w:t>
      </w:r>
      <w:r w:rsidRPr="00992C14">
        <w:rPr>
          <w:rFonts w:ascii="Courier New" w:hAnsi="Courier New" w:cs="Courier New"/>
        </w:rPr>
        <w:t>.</w:t>
      </w:r>
    </w:p>
    <w:p w:rsidR="00992C14" w:rsidRPr="00992C14" w:rsidP="00992C14" w14:paraId="37F2EA03" w14:textId="3DD93936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992C14">
        <w:rPr>
          <w:rFonts w:ascii="Courier New" w:hAnsi="Courier New" w:cs="Courier New"/>
          <w:b/>
          <w:bCs/>
          <w:i/>
          <w:iCs/>
        </w:rPr>
        <w:t>Hely Lopes Meirelles</w:t>
      </w:r>
      <w:r w:rsidRPr="00992C14">
        <w:rPr>
          <w:rFonts w:ascii="Courier New" w:hAnsi="Courier New" w:cs="Courier New"/>
        </w:rPr>
        <w:t xml:space="preserve"> ensina que o serviço público, por sua essencialidade, impõe ao Poder Público o dever de uma prestação regular, contínua e eficiente, sendo indelegável a sua titularidade e </w:t>
      </w:r>
      <w:r w:rsidRPr="00992C14">
        <w:rPr>
          <w:rFonts w:ascii="Courier New" w:hAnsi="Courier New" w:cs="Courier New"/>
        </w:rPr>
        <w:t>o seu poder de organização. A transferência da responsabilidade pela operação e manutenção para associações comunitárias sem a garantia da capacidade técnica e financeira viola o princípio da continuidade do serviço público. (</w:t>
      </w:r>
      <w:r w:rsidRPr="00992C14">
        <w:rPr>
          <w:rFonts w:ascii="Courier New" w:hAnsi="Courier New" w:cs="Courier New"/>
          <w:i/>
          <w:iCs/>
        </w:rPr>
        <w:t>MEIRELLES, Hely Lopes. Direito Administrativo Brasileiro. 44ª ed. São Paulo: Malheiros Editores, 2020</w:t>
      </w:r>
      <w:r w:rsidRPr="00992C14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.</w:t>
      </w:r>
    </w:p>
    <w:p w:rsidR="00992C14" w:rsidRPr="00992C14" w:rsidP="00992C14" w14:paraId="7D085632" w14:textId="1246BD93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Enquanto isso, </w:t>
      </w:r>
      <w:r w:rsidRPr="00992C14">
        <w:rPr>
          <w:rFonts w:ascii="Courier New" w:hAnsi="Courier New" w:cs="Courier New"/>
          <w:b/>
          <w:bCs/>
          <w:i/>
          <w:iCs/>
        </w:rPr>
        <w:t>Celso Antônio Bandeira de Mello</w:t>
      </w:r>
      <w:r w:rsidRPr="00992C14">
        <w:rPr>
          <w:rFonts w:ascii="Courier New" w:hAnsi="Courier New" w:cs="Courier New"/>
        </w:rPr>
        <w:t xml:space="preserve"> defende que a universalização é um princípio basilar do serviço público, significando que o serviço deve ser estendido a todos, sem discriminação. Criar um modelo de gestão para a zona rural distinto e mais precário que o da zona urbana fere o princípio da isonomia e o objetivo de universalização (</w:t>
      </w:r>
      <w:r w:rsidRPr="00992C14">
        <w:rPr>
          <w:rFonts w:ascii="Courier New" w:hAnsi="Courier New" w:cs="Courier New"/>
          <w:i/>
          <w:iCs/>
        </w:rPr>
        <w:t>MELLO, Celso Antônio Bandeira de. Curso de Direito Administrativo. 35ª ed. São Paulo: Malheiros Editores, 2021</w:t>
      </w:r>
      <w:r w:rsidRPr="00992C14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.</w:t>
      </w:r>
    </w:p>
    <w:p w:rsidR="00992C14" w:rsidP="00992C14" w14:paraId="18BE98CB" w14:textId="431ECB2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 forma a coadunar com os demais, </w:t>
      </w:r>
      <w:r w:rsidRPr="00992C14">
        <w:rPr>
          <w:rFonts w:ascii="Courier New" w:hAnsi="Courier New" w:cs="Courier New"/>
          <w:b/>
          <w:bCs/>
          <w:i/>
          <w:iCs/>
        </w:rPr>
        <w:t xml:space="preserve">Marçal </w:t>
      </w:r>
      <w:r w:rsidRPr="00992C14">
        <w:rPr>
          <w:rFonts w:ascii="Courier New" w:hAnsi="Courier New" w:cs="Courier New"/>
          <w:b/>
          <w:bCs/>
          <w:i/>
          <w:iCs/>
        </w:rPr>
        <w:t>Justen</w:t>
      </w:r>
      <w:r w:rsidRPr="00992C14">
        <w:rPr>
          <w:rFonts w:ascii="Courier New" w:hAnsi="Courier New" w:cs="Courier New"/>
          <w:b/>
          <w:bCs/>
          <w:i/>
          <w:iCs/>
        </w:rPr>
        <w:t xml:space="preserve"> Filho</w:t>
      </w:r>
      <w:r w:rsidRPr="00992C14">
        <w:rPr>
          <w:rFonts w:ascii="Courier New" w:hAnsi="Courier New" w:cs="Courier New"/>
        </w:rPr>
        <w:t xml:space="preserve"> destaca que a modicidade das tarifas é um princípio que visa garantir o acesso de todos ao serviço público. A gestão pública centralizada pelo SAAE permite a aplicação de subsídios cruzados e tarifas sociais, assegurando que a população de baixa renda da zona rural não seja excluída do serviço por incapacidade de pagamento, o que seria um risco iminente no modelo de autogestão (</w:t>
      </w:r>
      <w:r w:rsidRPr="00992C14">
        <w:rPr>
          <w:rFonts w:ascii="Courier New" w:hAnsi="Courier New" w:cs="Courier New"/>
          <w:i/>
          <w:iCs/>
        </w:rPr>
        <w:t>JUSTEN</w:t>
      </w:r>
      <w:r w:rsidRPr="00992C14">
        <w:rPr>
          <w:rFonts w:ascii="Courier New" w:hAnsi="Courier New" w:cs="Courier New"/>
          <w:i/>
          <w:iCs/>
        </w:rPr>
        <w:t xml:space="preserve"> FILHO, Marçal. Curso de Direito Administrativo. 12ª ed. São Paulo: Revista dos Tribunais, 2016</w:t>
      </w:r>
      <w:r w:rsidRPr="00992C14">
        <w:rPr>
          <w:rFonts w:ascii="Courier New" w:hAnsi="Courier New" w:cs="Courier New"/>
        </w:rPr>
        <w:t>).</w:t>
      </w:r>
    </w:p>
    <w:p w:rsidR="00992C14" w:rsidP="00992C14" w14:paraId="3C47C75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Tanto assim o é, que o </w:t>
      </w:r>
      <w:r w:rsidRPr="00992C14">
        <w:rPr>
          <w:rFonts w:ascii="Courier New" w:hAnsi="Courier New" w:cs="Courier New"/>
          <w:b/>
          <w:bCs/>
        </w:rPr>
        <w:t>Superior Tribunal de Justiça (STJ)</w:t>
      </w:r>
      <w:r>
        <w:rPr>
          <w:rFonts w:ascii="Courier New" w:hAnsi="Courier New" w:cs="Courier New"/>
        </w:rPr>
        <w:t xml:space="preserve"> já pavimentou que:</w:t>
      </w:r>
    </w:p>
    <w:p w:rsidR="00992C14" w:rsidP="00992C14" w14:paraId="4D2E15E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992C14" w:rsidRPr="003E5E0F" w:rsidP="00992C14" w14:paraId="7C0BC23E" w14:textId="54C3F96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992C14">
        <w:rPr>
          <w:rFonts w:ascii="Courier New" w:hAnsi="Courier New" w:cs="Courier New"/>
          <w:sz w:val="20"/>
          <w:szCs w:val="20"/>
        </w:rPr>
        <w:t>A responsabilidade pela prestação dos serviços de saneamento básico é do titular do serviço, ou seja, do Município, que deve assegurar a sua adequada prestação, seja diretamente ou por meio de concessionário, não podendo transferir o ônus da manutenção e operação de forma a comprometer a continuidade e a qualidade do serviço. (</w:t>
      </w:r>
      <w:r w:rsidRPr="00992C14">
        <w:rPr>
          <w:rFonts w:ascii="Courier New" w:hAnsi="Courier New" w:cs="Courier New"/>
          <w:b/>
          <w:bCs/>
          <w:sz w:val="20"/>
          <w:szCs w:val="20"/>
        </w:rPr>
        <w:t>STJ</w:t>
      </w:r>
      <w:r w:rsidRPr="00992C14">
        <w:rPr>
          <w:rFonts w:ascii="Courier New" w:hAnsi="Courier New" w:cs="Courier New"/>
          <w:sz w:val="20"/>
          <w:szCs w:val="20"/>
        </w:rPr>
        <w:t xml:space="preserve"> - REsp: 1789971 RS 2019/0000872-3, Relator: Ministro ROGERIO </w:t>
      </w:r>
      <w:r w:rsidRPr="00992C14">
        <w:rPr>
          <w:rFonts w:ascii="Courier New" w:hAnsi="Courier New" w:cs="Courier New"/>
          <w:sz w:val="20"/>
          <w:szCs w:val="20"/>
        </w:rPr>
        <w:t>SCHIETTI</w:t>
      </w:r>
      <w:r w:rsidRPr="00992C14">
        <w:rPr>
          <w:rFonts w:ascii="Courier New" w:hAnsi="Courier New" w:cs="Courier New"/>
          <w:sz w:val="20"/>
          <w:szCs w:val="20"/>
        </w:rPr>
        <w:t xml:space="preserve"> CRUZ, Data de Publicação: DJ 06/03/2019)</w:t>
      </w:r>
    </w:p>
    <w:p w:rsidR="00992C14" w:rsidP="00992C14" w14:paraId="1F9B45A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28194D" w:rsidP="00DC5E39" w14:paraId="2D6743E9" w14:textId="77019883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>S</w:t>
      </w:r>
      <w:r w:rsidRPr="00992C14">
        <w:rPr>
          <w:rFonts w:ascii="Courier New" w:hAnsi="Courier New" w:cs="Courier New"/>
          <w:i/>
          <w:iCs/>
        </w:rPr>
        <w:t xml:space="preserve">alus </w:t>
      </w:r>
      <w:r w:rsidRPr="00992C14">
        <w:rPr>
          <w:rFonts w:ascii="Courier New" w:hAnsi="Courier New" w:cs="Courier New"/>
          <w:i/>
          <w:iCs/>
        </w:rPr>
        <w:t>populi</w:t>
      </w:r>
      <w:r w:rsidRPr="00992C14">
        <w:rPr>
          <w:rFonts w:ascii="Courier New" w:hAnsi="Courier New" w:cs="Courier New"/>
          <w:i/>
          <w:iCs/>
        </w:rPr>
        <w:t xml:space="preserve"> suprema </w:t>
      </w:r>
      <w:r w:rsidRPr="00992C14">
        <w:rPr>
          <w:rFonts w:ascii="Courier New" w:hAnsi="Courier New" w:cs="Courier New"/>
          <w:i/>
          <w:iCs/>
        </w:rPr>
        <w:t>lex</w:t>
      </w:r>
      <w:r w:rsidRPr="00992C14">
        <w:rPr>
          <w:rFonts w:ascii="Courier New" w:hAnsi="Courier New" w:cs="Courier New"/>
          <w:i/>
          <w:iCs/>
        </w:rPr>
        <w:t xml:space="preserve"> </w:t>
      </w:r>
      <w:r w:rsidRPr="00992C14">
        <w:rPr>
          <w:rFonts w:ascii="Courier New" w:hAnsi="Courier New" w:cs="Courier New"/>
          <w:i/>
          <w:iCs/>
        </w:rPr>
        <w:t>esto</w:t>
      </w:r>
      <w:r w:rsidRPr="00992C14">
        <w:rPr>
          <w:rFonts w:ascii="Courier New" w:hAnsi="Courier New" w:cs="Courier New"/>
        </w:rPr>
        <w:t xml:space="preserve">, de modo que a gestão direta pela autarquia especializada, em observância ao princípio da </w:t>
      </w:r>
      <w:r w:rsidRPr="00992C14">
        <w:rPr>
          <w:rFonts w:ascii="Courier New" w:hAnsi="Courier New" w:cs="Courier New"/>
          <w:b/>
          <w:bCs/>
        </w:rPr>
        <w:t>Legalidade</w:t>
      </w:r>
      <w:r w:rsidRPr="00992C14">
        <w:rPr>
          <w:rFonts w:ascii="Courier New" w:hAnsi="Courier New" w:cs="Courier New"/>
        </w:rPr>
        <w:t xml:space="preserve"> e </w:t>
      </w:r>
      <w:r w:rsidRPr="00992C14">
        <w:rPr>
          <w:rFonts w:ascii="Courier New" w:hAnsi="Courier New" w:cs="Courier New"/>
        </w:rPr>
        <w:t xml:space="preserve">da </w:t>
      </w:r>
      <w:r w:rsidRPr="00992C14">
        <w:rPr>
          <w:rFonts w:ascii="Courier New" w:hAnsi="Courier New" w:cs="Courier New"/>
          <w:b/>
          <w:bCs/>
        </w:rPr>
        <w:t>Supremacia do Interesse Público</w:t>
      </w:r>
      <w:r w:rsidRPr="00992C14">
        <w:rPr>
          <w:rFonts w:ascii="Courier New" w:hAnsi="Courier New" w:cs="Courier New"/>
        </w:rPr>
        <w:t>, é o único caminho capaz de assegurar a sustentabilidade técnica e financeira indispensável à sobrevivência do sistema rural.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93045"/>
    <w:rsid w:val="000A07E1"/>
    <w:rsid w:val="000A70D0"/>
    <w:rsid w:val="000C21DC"/>
    <w:rsid w:val="000C4F9D"/>
    <w:rsid w:val="000D3816"/>
    <w:rsid w:val="000E19EC"/>
    <w:rsid w:val="000E2239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5004F"/>
    <w:rsid w:val="00251F14"/>
    <w:rsid w:val="0025595B"/>
    <w:rsid w:val="002575B7"/>
    <w:rsid w:val="00265037"/>
    <w:rsid w:val="00266484"/>
    <w:rsid w:val="002800AF"/>
    <w:rsid w:val="0028194D"/>
    <w:rsid w:val="002B4B31"/>
    <w:rsid w:val="002D2685"/>
    <w:rsid w:val="002E7069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D47DC"/>
    <w:rsid w:val="003D4A8E"/>
    <w:rsid w:val="003D51AC"/>
    <w:rsid w:val="003E04B5"/>
    <w:rsid w:val="003E5E0F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83430"/>
    <w:rsid w:val="00594AEB"/>
    <w:rsid w:val="00595899"/>
    <w:rsid w:val="00596358"/>
    <w:rsid w:val="005A29C0"/>
    <w:rsid w:val="005A66EE"/>
    <w:rsid w:val="005A7A11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67D9"/>
    <w:rsid w:val="006B79C1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2C2F"/>
    <w:rsid w:val="00825C83"/>
    <w:rsid w:val="00833EAC"/>
    <w:rsid w:val="008403EA"/>
    <w:rsid w:val="00857231"/>
    <w:rsid w:val="00865FD2"/>
    <w:rsid w:val="00867138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D5E73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2C14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01A7C"/>
    <w:rsid w:val="00A106A0"/>
    <w:rsid w:val="00A10812"/>
    <w:rsid w:val="00A2284F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E17FF1"/>
    <w:rsid w:val="00E2690C"/>
    <w:rsid w:val="00E304D4"/>
    <w:rsid w:val="00E34A76"/>
    <w:rsid w:val="00E37842"/>
    <w:rsid w:val="00E442BE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621DE"/>
    <w:rsid w:val="00F62626"/>
    <w:rsid w:val="00F73A3D"/>
    <w:rsid w:val="00F80818"/>
    <w:rsid w:val="00F81241"/>
    <w:rsid w:val="00F86552"/>
    <w:rsid w:val="00F87122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2B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127</cp:revision>
  <cp:lastPrinted>2026-04-13T12:43:16Z</cp:lastPrinted>
  <dcterms:created xsi:type="dcterms:W3CDTF">2025-03-11T18:20:00Z</dcterms:created>
  <dcterms:modified xsi:type="dcterms:W3CDTF">2026-04-13T01:17:00Z</dcterms:modified>
</cp:coreProperties>
</file>