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2F3238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EM CONJUNTO DAS COMISSÕES DE JUSTIÇA E REDAÇÃO E EXAME E ASSUNTOS INDUSTRIAIS E COMERCIAIS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5AF9D52C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F36F14">
        <w:rPr>
          <w:rStyle w:val="Strong"/>
        </w:rPr>
        <w:t>30</w:t>
      </w:r>
      <w:r w:rsidR="00DA5862">
        <w:rPr>
          <w:rStyle w:val="Strong"/>
        </w:rPr>
        <w:t xml:space="preserve"> DE 2026</w:t>
      </w:r>
      <w:r w:rsidRPr="00D85ED2">
        <w:br/>
      </w:r>
      <w:r w:rsidR="00F36F14">
        <w:rPr>
          <w:rStyle w:val="Emphasis"/>
        </w:rPr>
        <w:t>Revoga o Art. 2° da Lei Municipal n° 5884, de 16 de março de 2017</w:t>
      </w:r>
      <w:r w:rsidR="00DA5862">
        <w:rPr>
          <w:rStyle w:val="Emphasis"/>
        </w:rPr>
        <w:t xml:space="preserve">.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75BF6BCB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F36F14">
        <w:t>30</w:t>
      </w:r>
      <w:r w:rsidR="0050120D">
        <w:t xml:space="preserve"> de 2026, de autoria</w:t>
      </w:r>
      <w:r w:rsidR="00F36F14">
        <w:t xml:space="preserve"> do Ilmo. Prefeito Municipal Dr. Paulo de Oliveira e Silva</w:t>
      </w:r>
      <w:r w:rsidR="00CA0263">
        <w:t xml:space="preserve">, </w:t>
      </w:r>
      <w:r w:rsidRPr="00D85ED2" w:rsidR="005D21C6">
        <w:t xml:space="preserve">tem por objetivo </w:t>
      </w:r>
      <w:r w:rsidR="00F36F14">
        <w:rPr>
          <w:rStyle w:val="Emphasis"/>
          <w:b/>
        </w:rPr>
        <w:t>revogar o art. 2° da lei municipal n° 5884</w:t>
      </w:r>
      <w:r w:rsidR="0050120D">
        <w:rPr>
          <w:rStyle w:val="Emphasis"/>
          <w:b/>
        </w:rPr>
        <w:t xml:space="preserve">. </w:t>
      </w:r>
    </w:p>
    <w:p w:rsidR="003B1A59" w:rsidRPr="00D85ED2" w:rsidP="001902E0" w14:paraId="3500C619" w14:textId="24842E51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331394">
        <w:t>revoga-se a autorização a transferência de titularidade do imóvel doado à empresa SPAC COMÉRCIO DE AÇO EIRELLI, por meio da Lei Municipal n° 2475, de 9 de setembro de 1993, e alteração dada pela Lei Municipal n° 5390, de 28 de junho de 2013, para a empresa FADOMIL EMPREENDIMENTOS IMOBILIÁRIOS LTDA</w:t>
      </w:r>
      <w:r w:rsidR="008A09FC">
        <w:t xml:space="preserve">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56712565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331394">
        <w:t>30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</w:t>
      </w:r>
      <w:r w:rsidR="00331394">
        <w:t xml:space="preserve">do </w:t>
      </w:r>
      <w:r w:rsidR="00EB17D2">
        <w:t xml:space="preserve">Poder Público na promoção do desenvolvimento </w:t>
      </w:r>
      <w:r w:rsidR="00331394">
        <w:t>social e industrial.</w:t>
      </w:r>
      <w:r w:rsidR="00EB17D2">
        <w:t xml:space="preserve"> </w:t>
      </w:r>
    </w:p>
    <w:p w:rsidR="003F64A5" w:rsidP="003F64A5" w14:paraId="5139AC62" w14:textId="4DB46AAF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 e II, da Constituição Federal, compete aos Municípios legislar sobre assuntos de interesse local, bem como suplementar a legislação federa</w:t>
      </w:r>
      <w:r w:rsidR="00270E11">
        <w:t xml:space="preserve">l e estadual no que couber. </w:t>
      </w:r>
    </w:p>
    <w:p w:rsidR="00244E3D" w:rsidP="008D612E" w14:paraId="4C10D2EF" w14:textId="37235C5E">
      <w:pPr>
        <w:pStyle w:val="NormalWeb"/>
        <w:spacing w:line="360" w:lineRule="auto"/>
        <w:ind w:firstLine="720"/>
        <w:jc w:val="both"/>
      </w:pPr>
      <w:r>
        <w:t xml:space="preserve">No que se refere à iniciativa legislativa, não se verifica vício de iniciativa, uma vez que o projeto não cria cargos públicos, não altera a estrutura administrativa do Poder Executivo e não impõe obrigações administrativas específicas que comprometem a organização interna da Administração Pública.  </w:t>
      </w:r>
    </w:p>
    <w:p w:rsidR="00F74441" w:rsidP="003D6D21" w14:paraId="0F32780D" w14:textId="48768D2A">
      <w:pPr>
        <w:pStyle w:val="NormalWeb"/>
        <w:spacing w:line="360" w:lineRule="auto"/>
        <w:jc w:val="both"/>
        <w:rPr>
          <w:rStyle w:val="Strong"/>
          <w:b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331394" w:rsidP="00331394" w14:paraId="277046CF" w14:textId="2590C4BA">
      <w:pPr>
        <w:pStyle w:val="NormalWeb"/>
        <w:spacing w:line="360" w:lineRule="auto"/>
        <w:ind w:firstLine="720"/>
        <w:jc w:val="both"/>
      </w:pPr>
      <w:r>
        <w:t>A referida proposta solicita autorização legislativa para exclusão do gravame junto a titularidade do imóvel que foi regularmente transferida à empresa FADOMIL EMPREENDIMENTOS IMOBILIÁRIOS LTDA. Ocorre que a empresa interessada requereu a retirada do referido gravame, sob o argumento de que a restrição imposta viola o direito de propriedade, especialmente diante do exercício contínuo. regular e de boa-fé da posse e exploração do imóvel ao longo dos anos. sem qualquer desvio de finalidade ou infringência às normas que fundamentaram a doação originária.</w:t>
      </w:r>
    </w:p>
    <w:p w:rsidR="00331394" w:rsidP="00331394" w14:paraId="1F8DA8E3" w14:textId="02FBD047">
      <w:pPr>
        <w:pStyle w:val="NormalWeb"/>
        <w:spacing w:line="360" w:lineRule="auto"/>
        <w:ind w:firstLine="720"/>
        <w:jc w:val="both"/>
      </w:pPr>
      <w:r>
        <w:t>Do ponto de vista da Procuradoria Jurídica, o gravame registral constante da matrícula nº 57.062 não encontra mais respaldo jurídico para sua manutenção, uma vez que os encargos estabelecidos na doação originária foram integralmente cumpridos, encontrando-se devidamente averbados. Destaca-se que. ausente previsão legal quanto à duração da restrição, e transcorrido lapso temporal superior a 30 anos, resta esvaziado o vínculo administrativo sobre o imóvel. consolidando-se a propriedade plena em favor da atual titular.</w:t>
      </w:r>
    </w:p>
    <w:p w:rsidR="00331394" w:rsidRPr="00D85ED2" w:rsidP="00331394" w14:paraId="570D52E8" w14:textId="6558433C">
      <w:pPr>
        <w:pStyle w:val="NormalWeb"/>
        <w:spacing w:line="360" w:lineRule="auto"/>
        <w:ind w:firstLine="720"/>
        <w:jc w:val="both"/>
      </w:pPr>
      <w:r>
        <w:t>Ressalta-se que a revogação do dispositivo não acarretará prejuízo ao interesse público, uma vez que não há registro de descumprimento da finalidade que justificou a doação do imóvel, tampouco indícios de utilização inadequada da área.</w:t>
      </w:r>
    </w:p>
    <w:p w:rsidR="00F74441" w:rsidRPr="00D85ED2" w:rsidP="00331394" w14:paraId="38BA90DC" w14:textId="400281B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5317F9DC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331394">
        <w:rPr>
          <w:b/>
          <w:bCs/>
        </w:rPr>
        <w:t xml:space="preserve">não </w:t>
      </w:r>
      <w:r w:rsidR="00DA5039">
        <w:rPr>
          <w:rStyle w:val="Strong"/>
        </w:rPr>
        <w:t xml:space="preserve">propõe </w:t>
      </w:r>
      <w:r w:rsidR="00331394">
        <w:rPr>
          <w:rStyle w:val="Strong"/>
        </w:rPr>
        <w:t>emendas</w:t>
      </w:r>
      <w:r w:rsidR="00C00566">
        <w:t xml:space="preserve"> </w:t>
      </w:r>
      <w:r w:rsidR="00331394"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63971E4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</w:t>
      </w:r>
      <w:r w:rsidR="009B1E64">
        <w:rPr>
          <w:rStyle w:val="Strong"/>
          <w:b/>
          <w:bCs w:val="0"/>
          <w:color w:val="auto"/>
          <w:sz w:val="24"/>
          <w:szCs w:val="24"/>
        </w:rPr>
        <w:t>S</w:t>
      </w:r>
      <w:r w:rsidRPr="00D85ED2">
        <w:rPr>
          <w:rStyle w:val="Strong"/>
          <w:b/>
          <w:bCs w:val="0"/>
          <w:color w:val="auto"/>
          <w:sz w:val="24"/>
          <w:szCs w:val="24"/>
        </w:rPr>
        <w:t xml:space="preserve"> COMISS</w:t>
      </w:r>
      <w:r w:rsidR="009B1E64">
        <w:rPr>
          <w:rStyle w:val="Strong"/>
          <w:b/>
          <w:bCs w:val="0"/>
          <w:color w:val="auto"/>
          <w:sz w:val="24"/>
          <w:szCs w:val="24"/>
        </w:rPr>
        <w:t>ÕES</w:t>
      </w:r>
    </w:p>
    <w:p w:rsidR="00F74441" w:rsidRPr="00D85ED2" w:rsidP="003D6D21" w14:paraId="2AF20253" w14:textId="3919E93C">
      <w:pPr>
        <w:pStyle w:val="NormalWeb"/>
        <w:spacing w:line="360" w:lineRule="auto"/>
        <w:jc w:val="both"/>
      </w:pPr>
      <w:r w:rsidRPr="00D85ED2">
        <w:tab/>
        <w:t>A Comissão de Justiça e Redação</w:t>
      </w:r>
      <w:r w:rsidR="009B1E64">
        <w:t xml:space="preserve"> e Comissão de Exame e Assuntos Industriais e Comerciais</w:t>
      </w:r>
      <w:r w:rsidRPr="00D85ED2">
        <w:t>, por unanimidade, </w:t>
      </w:r>
      <w:r w:rsidRPr="00D85ED2">
        <w:rPr>
          <w:rStyle w:val="Strong"/>
        </w:rPr>
        <w:t>aprova</w:t>
      </w:r>
      <w:r w:rsidRPr="00D85ED2">
        <w:t> o Pro</w:t>
      </w:r>
      <w:r w:rsidR="0033599D">
        <w:t xml:space="preserve">jeto de Lei nº </w:t>
      </w:r>
      <w:r w:rsidR="00331394">
        <w:t>30</w:t>
      </w:r>
      <w:r w:rsidR="0033599D">
        <w:t xml:space="preserve"> de 2026</w:t>
      </w:r>
      <w:r w:rsidRPr="00D85ED2">
        <w:t>, </w:t>
      </w:r>
      <w:r w:rsidR="00331394">
        <w:rPr>
          <w:rStyle w:val="Strong"/>
        </w:rPr>
        <w:t>sem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RPr="00D85ED2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1A54915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1</w:t>
      </w:r>
      <w:r w:rsidR="009B1E64">
        <w:rPr>
          <w:rStyle w:val="Strong"/>
        </w:rPr>
        <w:t>4</w:t>
      </w:r>
      <w:r w:rsidR="0033599D">
        <w:rPr>
          <w:rStyle w:val="Strong"/>
        </w:rPr>
        <w:t xml:space="preserve"> de </w:t>
      </w:r>
      <w:r w:rsidR="00331394">
        <w:rPr>
          <w:rStyle w:val="Strong"/>
        </w:rPr>
        <w:t>abril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7246EE4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n° </w:t>
      </w:r>
      <w:r w:rsidRPr="00331394" w:rsidR="00331394">
        <w:rPr>
          <w:rStyle w:val="Strong"/>
        </w:rPr>
        <w:t>0157/2026/JG/G/DDR</w:t>
      </w:r>
      <w:r w:rsidR="00331394">
        <w:t xml:space="preserve"> – </w:t>
      </w:r>
      <w:r w:rsidR="00331394">
        <w:rPr>
          <w:b/>
          <w:bCs/>
        </w:rPr>
        <w:t xml:space="preserve">SGP: </w:t>
      </w:r>
      <w:r w:rsidRPr="00D85ED2">
        <w:t xml:space="preserve">elaborada pela assessoria jurídica externa, que aponta </w:t>
      </w:r>
      <w:r w:rsidRPr="00D85ED2" w:rsidR="008C125D">
        <w:t>que o projeto versa sobre questão de interesse local</w:t>
      </w:r>
      <w:r w:rsidR="00331394">
        <w:t>.</w:t>
      </w:r>
    </w:p>
    <w:p w:rsidR="001B7B3C" w:rsidRPr="00C71EBA" w:rsidP="001B7B3C" w14:paraId="426D1A64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F82279" w:rsidP="004B09B1" w14:paraId="49912B2F" w14:textId="613274DA">
      <w:pPr>
        <w:pStyle w:val="NormalWeb"/>
        <w:spacing w:before="0" w:beforeAutospacing="0" w:line="360" w:lineRule="auto"/>
        <w:ind w:left="720"/>
        <w:jc w:val="both"/>
      </w:pPr>
    </w:p>
    <w:p w:rsidR="009B1E64" w:rsidP="004B09B1" w14:paraId="527910EF" w14:textId="77777777">
      <w:pPr>
        <w:pStyle w:val="NormalWeb"/>
        <w:spacing w:before="0" w:beforeAutospacing="0" w:line="360" w:lineRule="auto"/>
        <w:ind w:left="720"/>
        <w:jc w:val="both"/>
      </w:pPr>
    </w:p>
    <w:p w:rsidR="009B1E64" w:rsidP="004B09B1" w14:paraId="45ABABEA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9B1E64" w14:paraId="2BB5648D" w14:textId="3204EB99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 xml:space="preserve">PARECER </w:t>
      </w:r>
      <w:r w:rsidR="009B1E64">
        <w:rPr>
          <w:rFonts w:ascii="Palatino Linotype" w:hAnsi="Palatino Linotype" w:cs="Arial"/>
          <w:b/>
          <w:sz w:val="24"/>
          <w:szCs w:val="24"/>
        </w:rPr>
        <w:t xml:space="preserve">EM CONJUNTO </w:t>
      </w:r>
      <w:r w:rsidRPr="00D85ED2"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9B1E64">
        <w:rPr>
          <w:rFonts w:ascii="Palatino Linotype" w:hAnsi="Palatino Linotype" w:cs="Arial"/>
          <w:b/>
          <w:sz w:val="24"/>
          <w:szCs w:val="24"/>
        </w:rPr>
        <w:t xml:space="preserve"> E </w:t>
      </w:r>
      <w:r w:rsidRPr="009B1E64" w:rsidR="009B1E64">
        <w:rPr>
          <w:rFonts w:ascii="Palatino Linotype" w:hAnsi="Palatino Linotype" w:cs="Arial"/>
          <w:b/>
          <w:sz w:val="24"/>
          <w:szCs w:val="24"/>
        </w:rPr>
        <w:t>COMISSÃO DE EXAME E ASSUNTOS INDUSTRIAIS E COMERCIAIS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AO PROJETO DE LEI N° </w:t>
      </w:r>
      <w:r w:rsidR="00331394">
        <w:rPr>
          <w:rFonts w:ascii="Palatino Linotype" w:hAnsi="Palatino Linotype" w:cs="Arial"/>
          <w:b/>
          <w:sz w:val="24"/>
          <w:szCs w:val="24"/>
        </w:rPr>
        <w:t>30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01CF2108">
      <w:pPr>
        <w:spacing w:line="380" w:lineRule="atLeast"/>
        <w:jc w:val="both"/>
        <w:rPr>
          <w:b/>
          <w:bCs/>
          <w:sz w:val="24"/>
          <w:szCs w:val="24"/>
        </w:rPr>
      </w:pPr>
      <w:r w:rsidRPr="009B1E64">
        <w:rPr>
          <w:sz w:val="24"/>
          <w:szCs w:val="24"/>
        </w:rPr>
        <w:t xml:space="preserve">Seguindo o Voto exarado pelo Relator e conforme </w:t>
      </w:r>
      <w:r w:rsidRPr="009B1E64" w:rsidR="009B1E64">
        <w:rPr>
          <w:sz w:val="26"/>
          <w:szCs w:val="26"/>
        </w:rPr>
        <w:t>o artigo 34, conjuntamente com os artigos 35, combinados com artigo 45 da Resolução 276 de 09 de novembro de 2010 – Regimento Interno da Câmara Municipal</w:t>
      </w:r>
      <w:r w:rsidRPr="009B1E64" w:rsidR="009B1E64">
        <w:rPr>
          <w:sz w:val="26"/>
          <w:szCs w:val="26"/>
        </w:rPr>
        <w:t xml:space="preserve"> </w:t>
      </w:r>
      <w:r w:rsidR="009B1E64">
        <w:rPr>
          <w:sz w:val="26"/>
          <w:szCs w:val="26"/>
        </w:rPr>
        <w:t xml:space="preserve">e da Resolução n° 231/2000 </w:t>
      </w:r>
      <w:r w:rsidRPr="009B1E64">
        <w:rPr>
          <w:sz w:val="24"/>
          <w:szCs w:val="24"/>
        </w:rPr>
        <w:t>a Comissão Permanente de Justiça e Redação</w:t>
      </w:r>
      <w:r w:rsidR="009B1E64">
        <w:rPr>
          <w:sz w:val="24"/>
          <w:szCs w:val="24"/>
        </w:rPr>
        <w:t xml:space="preserve"> e a Comissão de Exame e Assuntos Industriais e Comerciais</w:t>
      </w:r>
      <w:r w:rsidRPr="009B1E64">
        <w:rPr>
          <w:sz w:val="24"/>
          <w:szCs w:val="24"/>
        </w:rPr>
        <w:t xml:space="preserve"> formaliza</w:t>
      </w:r>
      <w:r w:rsidR="009B1E64">
        <w:rPr>
          <w:sz w:val="24"/>
          <w:szCs w:val="24"/>
        </w:rPr>
        <w:t>m</w:t>
      </w:r>
      <w:r w:rsidRPr="009B1E64">
        <w:rPr>
          <w:sz w:val="24"/>
          <w:szCs w:val="24"/>
        </w:rPr>
        <w:t xml:space="preserve"> o presente PARECER F</w:t>
      </w:r>
      <w:r w:rsidRPr="009B1E64" w:rsidR="0033599D">
        <w:rPr>
          <w:sz w:val="24"/>
          <w:szCs w:val="24"/>
        </w:rPr>
        <w:t xml:space="preserve">AVORÁVEL ao Projeto de Lei n° </w:t>
      </w:r>
      <w:r w:rsidRPr="009B1E64" w:rsidR="00331394">
        <w:rPr>
          <w:sz w:val="24"/>
          <w:szCs w:val="24"/>
        </w:rPr>
        <w:t>30</w:t>
      </w:r>
      <w:r w:rsidRPr="009B1E64" w:rsidR="0033599D">
        <w:rPr>
          <w:sz w:val="24"/>
          <w:szCs w:val="24"/>
        </w:rPr>
        <w:t xml:space="preserve"> de 2026</w:t>
      </w:r>
      <w:r w:rsidRPr="009B1E64">
        <w:rPr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AF682E9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</w:t>
      </w:r>
      <w:r w:rsidR="009B1E64">
        <w:rPr>
          <w:rFonts w:ascii="Palatino Linotype" w:hAnsi="Palatino Linotype" w:cs="Arial"/>
          <w:bCs/>
          <w:sz w:val="24"/>
          <w:szCs w:val="24"/>
        </w:rPr>
        <w:t>4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331394">
        <w:rPr>
          <w:rFonts w:ascii="Palatino Linotype" w:hAnsi="Palatino Linotype" w:cs="Arial"/>
          <w:bCs/>
          <w:sz w:val="24"/>
          <w:szCs w:val="24"/>
        </w:rPr>
        <w:t>abril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5C6FEDD2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9B1E64" w:rsidP="0055728D" w14:paraId="1E765A37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RPr="00D85ED2" w:rsidP="003712D3" w14:paraId="3EE3F375" w14:textId="135A7EC4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EXAME E ASSUNTOS INDUSTRIAIS E COMERCIAIS</w:t>
      </w:r>
    </w:p>
    <w:p w:rsidR="003712D3" w:rsidRPr="00D85ED2" w:rsidP="003712D3" w14:paraId="49FFB2C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717A965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06E6993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578FC3F1" w14:textId="77A384F5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3712D3"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3712D3" w:rsidRPr="00D85ED2" w:rsidP="003712D3" w14:paraId="415CD7E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3712D3" w:rsidRPr="00D85ED2" w:rsidP="003712D3" w14:paraId="21D3B39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519CF581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0D832D4F" w14:textId="6D1854F9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3712D3"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3712D3" w:rsidRPr="00D85ED2" w:rsidP="003712D3" w14:paraId="7C6DE233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3712D3" w:rsidRPr="00D85ED2" w:rsidP="003712D3" w14:paraId="1E8BA8B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6ED3C3B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3712D3" w:rsidRPr="00D85ED2" w:rsidP="003712D3" w14:paraId="4D07A0B7" w14:textId="06B7A2FC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3712D3" w:rsidRPr="00D85ED2" w:rsidP="003712D3" w14:paraId="38AD5B8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3712D3" w:rsidRPr="008C125D" w:rsidP="0055728D" w14:paraId="03571597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1EBA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4</cp:revision>
  <cp:lastPrinted>2025-02-18T14:53:00Z</cp:lastPrinted>
  <dcterms:created xsi:type="dcterms:W3CDTF">2026-04-13T13:33:00Z</dcterms:created>
  <dcterms:modified xsi:type="dcterms:W3CDTF">2026-04-15T17:21:00Z</dcterms:modified>
</cp:coreProperties>
</file>