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B2A2D" w:rsidP="003B2A2D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3B2A2D" w:rsidRPr="006B0634" w:rsidP="003B2A2D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6B063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COMISSÃO DE OBRAS, SERVIÇOS PÚBLICOS E ATIVIDADES PRIVADAS</w:t>
      </w:r>
    </w:p>
    <w:p w:rsidR="003B2A2D" w:rsidRPr="00036DD8" w:rsidP="003B2A2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3B2A2D" w:rsidRPr="0003179B" w:rsidP="003B2A2D">
      <w:pPr>
        <w:pStyle w:val="NoSpacing"/>
        <w:spacing w:line="360" w:lineRule="auto"/>
        <w:jc w:val="both"/>
        <w:rPr>
          <w:lang w:eastAsia="pt-BR"/>
        </w:rPr>
      </w:pPr>
    </w:p>
    <w:p w:rsidR="003B2A2D" w:rsidP="003B2A2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B2A2D" w:rsidP="003B2A2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PARECER AO PROJETO DE LEI Nº 31/2026</w:t>
      </w:r>
      <w:r w:rsidRPr="00036DD8">
        <w:rPr>
          <w:rFonts w:ascii="Times New Roman" w:hAnsi="Times New Roman" w:cs="Times New Roman"/>
          <w:sz w:val="24"/>
          <w:szCs w:val="24"/>
          <w:lang w:eastAsia="pt-BR"/>
        </w:rPr>
        <w:br/>
      </w:r>
    </w:p>
    <w:p w:rsidR="003B2A2D" w:rsidP="003B2A2D">
      <w:pPr>
        <w:pStyle w:val="NoSpacing"/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“</w:t>
      </w:r>
      <w:r w:rsidRPr="003B2A2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 xml:space="preserve">DISPÕE SOBRE A DESAFETAÇÃO DE IMÓVEIS MUNICIPAIS, A ALTERAÇÃO DA DESTINAÇÃO, AUTORIZAÇÃO PARA ALIENAÇÃO POR MEIO DE INCORPORAÇÃO IMOBILIÁRIA, MEDIANTE LICITAÇÃO NA MODALIDADE CONCORRÊNCIA, E OFERECER EM GARANTIA DE CRÉDITO </w:t>
      </w:r>
      <w:r w:rsidRPr="003B2A2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IMOBILIÁRIO.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  <w:t>”</w:t>
      </w:r>
    </w:p>
    <w:p w:rsidR="003B2A2D" w:rsidP="003B2A2D">
      <w:pPr>
        <w:pStyle w:val="NoSpacing"/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pt-BR"/>
        </w:rPr>
      </w:pPr>
    </w:p>
    <w:p w:rsidR="003B2A2D" w:rsidRPr="00FD5E1A" w:rsidP="003B2A2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FD5E1A">
        <w:rPr>
          <w:rFonts w:ascii="Times New Roman" w:hAnsi="Times New Roman" w:cs="Times New Roman"/>
          <w:b/>
          <w:sz w:val="24"/>
          <w:szCs w:val="24"/>
          <w:lang w:eastAsia="pt-BR"/>
        </w:rPr>
        <w:t>RELATOR: VEREADOR ADEMIR SOUZA FLORETTI JUNIOR</w:t>
      </w:r>
    </w:p>
    <w:p w:rsidR="003B2A2D" w:rsidRPr="00036DD8" w:rsidP="003B2A2D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B2A2D" w:rsidRPr="0003179B" w:rsidP="003B2A2D">
      <w:pPr>
        <w:pStyle w:val="NoSpacing"/>
        <w:spacing w:line="360" w:lineRule="auto"/>
        <w:jc w:val="both"/>
        <w:rPr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3B2A2D" w:rsidRPr="00A2038D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2038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- EXPOSIÇÃO DA MATÉRIA EM EXAME</w:t>
      </w:r>
    </w:p>
    <w:p w:rsidR="003B2A2D" w:rsidRPr="003B2A2D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>Submete-se à análise desta Comissão o Projeto de Lei nº 31/2026, de iniciativa do Chefe do Poder Executivo Municipal, cuja ementa dispõe sobre a desafetação de imóveis públicos municipais, alteração de sua destinação, autorização para alienação mediante incorporação imobiliária, precedida de licitação, e possibilidade de oferecimento dos bens em garantia de operação de crédito imobiliário.</w:t>
      </w:r>
    </w:p>
    <w:p w:rsidR="003B2A2D" w:rsidRPr="003B2A2D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>A proposição tem por finalidade viabilizar a implementação de empreendimentos habitacionais de interesse social, no âmbito do Programa “Nossa Casa – Preço Social”, em parceria com o Governo do Estado de São Paulo, direcionados à população de baixa renda.</w:t>
      </w:r>
    </w:p>
    <w:p w:rsidR="003B2A2D" w:rsidRPr="003B2A2D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>Para tanto, o projeto prevê a desafetação de imóveis públicos atualmente classificados como bens de uso comum do povo, convertendo-os em bens dominicais, condição jurídica indispensável para sua alienação, nos termos do regime jurídico dos bens públicos.</w:t>
      </w:r>
    </w:p>
    <w:p w:rsidR="003B2A2D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>Os imóveis abrangidos pela proposta, devidamente identificados por suas matrículas (nº 76.830, 77.495 e 103.310), encontram-se inseridos no perímetro urbano municipal, em áreas dotadas de infraestrutura básica, com vocação urbanística compatível com o desenvolvimento de projetos habitacionais.</w:t>
      </w:r>
    </w:p>
    <w:p w:rsidR="00702D89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3B2A2D" w:rsidRPr="003B2A2D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>A alienação será realizada por meio do instrumento da incorporação imobiliária, precedida de licitação na modalidade concorrência, permitindo a atuação da iniciativa privada na execução do empreendimento, sob controle do Poder Público e com destinação vinculada à habitação de interesse social.</w:t>
      </w:r>
    </w:p>
    <w:p w:rsidR="003B2A2D" w:rsidRPr="003B2A2D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>Adicionalmente, o projeto autoriza a utilização dos imóveis como garantia de operação de crédito, mecanismo que visa conferir viabilidade financeira ao empreendimento e ampliar a capacidade de investimento do Município no setor habitacional.</w:t>
      </w:r>
    </w:p>
    <w:p w:rsidR="003B2A2D" w:rsidRPr="003B2A2D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>A instrução processual revela robusto suporte técnico e jurídico, contendo:</w:t>
      </w:r>
    </w:p>
    <w:p w:rsidR="003B2A2D" w:rsidRPr="003B2A2D" w:rsidP="003B2A2D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>pareceres</w:t>
      </w: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favoráveis das Secretarias de Planejamento e Urbanismo e de Habitação;</w:t>
      </w:r>
    </w:p>
    <w:p w:rsidR="003B2A2D" w:rsidRPr="003B2A2D" w:rsidP="003B2A2D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>análise</w:t>
      </w: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compatibilidade urbanística com o Plano Diretor;</w:t>
      </w:r>
    </w:p>
    <w:p w:rsidR="003B2A2D" w:rsidRPr="003B2A2D" w:rsidP="003B2A2D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>estudos</w:t>
      </w: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técnicos de viabilidade e avaliação imobiliária;</w:t>
      </w:r>
    </w:p>
    <w:p w:rsidR="003B2A2D" w:rsidRPr="003B2A2D" w:rsidP="003B2A2D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>convênios</w:t>
      </w: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firmados no âmbito do Programa Nossa Casa;</w:t>
      </w:r>
    </w:p>
    <w:p w:rsidR="003B2A2D" w:rsidRPr="003B2A2D" w:rsidP="003B2A2D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>manifestações</w:t>
      </w: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Procuradoria Jurídica Municipal.</w:t>
      </w:r>
    </w:p>
    <w:p w:rsidR="003B2A2D" w:rsidRPr="003B2A2D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>Os documentos evidenciam que a proposta está inserida em política pública estruturada, com planejamento técnico adequado e alinhamento às diretrizes de desenvolvimento urbano e habitação social.</w:t>
      </w:r>
    </w:p>
    <w:p w:rsidR="003B2A2D" w:rsidRPr="003B2A2D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>Sob a ótica desta Comissão, a matéria possui natureza eminentemente técnica, envolvendo:</w:t>
      </w:r>
    </w:p>
    <w:p w:rsidR="003B2A2D" w:rsidRPr="003B2A2D" w:rsidP="003B2A2D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</w:t>
      </w: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destinação de bens públicos;</w:t>
      </w:r>
    </w:p>
    <w:p w:rsidR="003B2A2D" w:rsidRPr="003B2A2D" w:rsidP="003B2A2D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>planejamento</w:t>
      </w: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urbano e uso do solo;</w:t>
      </w:r>
    </w:p>
    <w:p w:rsidR="003B2A2D" w:rsidRPr="003B2A2D" w:rsidP="003B2A2D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>execução</w:t>
      </w: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obras e infraestrutura urbana;</w:t>
      </w:r>
    </w:p>
    <w:p w:rsidR="003B2A2D" w:rsidRPr="003B2A2D" w:rsidP="003B2A2D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>articulação</w:t>
      </w: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entre setor público e iniciativa privada.</w:t>
      </w:r>
    </w:p>
    <w:p w:rsidR="003B2A2D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sz w:val="24"/>
          <w:szCs w:val="24"/>
          <w:lang w:eastAsia="pt-BR"/>
        </w:rPr>
        <w:t>Trata-se, portanto, de proposição de elevado impacto na organização territorial do Município e na prestação de serviços públicos relacionados à política habitacional.</w:t>
      </w:r>
    </w:p>
    <w:p w:rsidR="00702D89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702D89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702D89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3B2A2D" w:rsidRPr="00D74E59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74E5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CONCLUSÕES DO RELATOR</w:t>
      </w:r>
    </w:p>
    <w:p w:rsidR="003B2A2D" w:rsidRPr="003B2A2D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análise técnica do Projeto de Lei nº 31/2026 demonstra que a proposição é juridicamente viável, tecnicamente consistente e administrativamente adequada, atendendo aos requisitos legais e às diretrizes da política urbana.</w:t>
      </w:r>
    </w:p>
    <w:p w:rsidR="003B2A2D" w:rsidRPr="003B2A2D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Legalidade e regime jurídico dos bens públicos</w:t>
      </w:r>
    </w:p>
    <w:p w:rsidR="003B2A2D" w:rsidRPr="003B2A2D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desafetação dos imóveis constitui requisito essencial para sua alienação, promovendo sua conversão em bens dominicais, conforme entendimento consolidado no Direito Administrativo.</w:t>
      </w:r>
    </w:p>
    <w:p w:rsidR="003B2A2D" w:rsidRPr="003B2A2D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autorização legislativa atende às exigências legais e está em conformidade com a legislação vigente, especialmente no que se refere:</w:t>
      </w:r>
    </w:p>
    <w:p w:rsidR="003B2A2D" w:rsidRPr="003B2A2D" w:rsidP="003B2A2D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à</w:t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alienação de bens públicos;</w:t>
      </w:r>
    </w:p>
    <w:p w:rsidR="003B2A2D" w:rsidRPr="003B2A2D" w:rsidP="003B2A2D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à</w:t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necessidade de licitação;</w:t>
      </w:r>
    </w:p>
    <w:p w:rsidR="003B2A2D" w:rsidRPr="003B2A2D" w:rsidP="003B2A2D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à</w:t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observância dos princípios da Administração Pública.</w:t>
      </w:r>
    </w:p>
    <w:p w:rsidR="003B2A2D" w:rsidRPr="003B2A2D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Adequação urbanística e técnica</w:t>
      </w:r>
    </w:p>
    <w:p w:rsidR="003B2A2D" w:rsidRPr="003B2A2D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Os imóveis objeto da proposição:</w:t>
      </w:r>
    </w:p>
    <w:p w:rsidR="003B2A2D" w:rsidRPr="003B2A2D" w:rsidP="003B2A2D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encontram</w:t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-se inseridos em área urbana consolidada;</w:t>
      </w:r>
    </w:p>
    <w:p w:rsidR="003B2A2D" w:rsidRPr="003B2A2D" w:rsidP="003B2A2D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possuem</w:t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infraestrutura básica instalada;</w:t>
      </w:r>
    </w:p>
    <w:p w:rsidR="003B2A2D" w:rsidRPr="003B2A2D" w:rsidP="003B2A2D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estão</w:t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localizados em zona compatível com uso habitacional;</w:t>
      </w:r>
    </w:p>
    <w:p w:rsidR="003B2A2D" w:rsidRPr="003B2A2D" w:rsidP="003B2A2D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apresentam</w:t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viabilidade técnica para implantação de empreendimentos residenciais.</w:t>
      </w:r>
    </w:p>
    <w:p w:rsidR="003B2A2D" w:rsidRPr="003B2A2D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proposta está alinhada ao Plano Diretor Municipal e às diretrizes de ocupação de vazios urbanos, promovendo uso racional do território.</w:t>
      </w:r>
    </w:p>
    <w:p w:rsidR="003B2A2D" w:rsidRPr="003B2A2D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Impacto na política habitacional</w:t>
      </w:r>
    </w:p>
    <w:p w:rsidR="003B2A2D" w:rsidRPr="003B2A2D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projeto contribui diretamente para a execução de política pública prioritária, qual seja, a ampliação da oferta de moradia para população de baixa renda.</w:t>
      </w:r>
    </w:p>
    <w:p w:rsidR="003B2A2D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</w:p>
    <w:p w:rsidR="00702D89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</w:p>
    <w:p w:rsidR="003B2A2D" w:rsidRPr="003B2A2D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utilização do instrumento da incorporação imobiliária:</w:t>
      </w:r>
    </w:p>
    <w:p w:rsidR="003B2A2D" w:rsidRPr="003B2A2D" w:rsidP="003B2A2D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permite</w:t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mobilização de recursos privados;</w:t>
      </w:r>
    </w:p>
    <w:p w:rsidR="003B2A2D" w:rsidRPr="003B2A2D" w:rsidP="003B2A2D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reduz</w:t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necessidade de investimento direto do Município;</w:t>
      </w:r>
    </w:p>
    <w:p w:rsidR="003B2A2D" w:rsidRPr="003B2A2D" w:rsidP="003B2A2D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acelera</w:t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implementação dos empreendimentos;</w:t>
      </w:r>
    </w:p>
    <w:p w:rsidR="003B2A2D" w:rsidRPr="003B2A2D" w:rsidP="003B2A2D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amplia</w:t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eficiência da política pública.</w:t>
      </w:r>
    </w:p>
    <w:p w:rsidR="003B2A2D" w:rsidRPr="003B2A2D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Gestão de obras e serviços públicos</w:t>
      </w:r>
    </w:p>
    <w:p w:rsidR="003B2A2D" w:rsidRPr="003B2A2D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 âmbito desta Comissão, destaca-se que a proposta:</w:t>
      </w:r>
    </w:p>
    <w:p w:rsidR="003B2A2D" w:rsidRPr="003B2A2D" w:rsidP="003B2A2D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viabiliza</w:t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implantação de novos núcleos habitacionais;</w:t>
      </w:r>
    </w:p>
    <w:p w:rsidR="003B2A2D" w:rsidRPr="003B2A2D" w:rsidP="003B2A2D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promove</w:t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expansão ordenada da infraestrutura urbana;</w:t>
      </w:r>
    </w:p>
    <w:p w:rsidR="003B2A2D" w:rsidRPr="003B2A2D" w:rsidP="003B2A2D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contribui</w:t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para a racionalização do uso do solo;</w:t>
      </w:r>
    </w:p>
    <w:p w:rsidR="003B2A2D" w:rsidRPr="003B2A2D" w:rsidP="003B2A2D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favorece</w:t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 planejamento de serviços públicos essenciais (água, esgoto, iluminação, mobilidade).</w:t>
      </w:r>
    </w:p>
    <w:p w:rsidR="003B2A2D" w:rsidRPr="003B2A2D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Riscos e cautelas administrativas</w:t>
      </w:r>
    </w:p>
    <w:p w:rsidR="003B2A2D" w:rsidRPr="003B2A2D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Os pareceres técnicos apontam a necessidade de atenção na fase de execução, especialmente quanto:</w:t>
      </w:r>
    </w:p>
    <w:p w:rsidR="003B2A2D" w:rsidRPr="003B2A2D" w:rsidP="003B2A2D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à</w:t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elaboração do edital de licitação;</w:t>
      </w:r>
    </w:p>
    <w:p w:rsidR="003B2A2D" w:rsidRPr="003B2A2D" w:rsidP="003B2A2D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à</w:t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definição de cláusulas contratuais que garantam a destinação social;</w:t>
      </w:r>
    </w:p>
    <w:p w:rsidR="003B2A2D" w:rsidRPr="003B2A2D" w:rsidP="003B2A2D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à</w:t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previsão de mecanismos de reversão do imóvel em caso de descumprimento.</w:t>
      </w:r>
    </w:p>
    <w:p w:rsidR="003B2A2D" w:rsidP="003B2A2D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Tais cautelas, contudo, dizem respeito à fase executiva, não comprometendo a validade da proposição.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3B2A2D" w:rsidRPr="00D63C54" w:rsidP="003B2A2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63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OFERECIMENTO DE SUBSTITUTIVO, EMENDAS OU SUBEMENDAS</w:t>
      </w:r>
    </w:p>
    <w:p w:rsidR="003B2A2D" w:rsidRPr="003B2A2D" w:rsidP="003B2A2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Após análise técnica e jurídica da matéria, verifica-se que o Projeto de Lei nº 31/2026 apresenta estrutura normativa adequada, coerência sistêmica e conformidade com a legislação aplicável.</w:t>
      </w:r>
    </w:p>
    <w:p w:rsidR="003B2A2D" w:rsidRPr="003B2A2D" w:rsidP="003B2A2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3B2A2D" w:rsidRPr="003B2A2D" w:rsidP="003B2A2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texto encontra-se suficientemente claro quanto:</w:t>
      </w:r>
    </w:p>
    <w:p w:rsidR="003B2A2D" w:rsidRPr="003B2A2D" w:rsidP="003B2A2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3B2A2D" w:rsidRPr="003B2A2D" w:rsidP="003B2A2D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ao</w:t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objeto da desafetação;</w:t>
      </w:r>
    </w:p>
    <w:p w:rsidR="003B2A2D" w:rsidRPr="003B2A2D" w:rsidP="003B2A2D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à</w:t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finalidade habitacional;</w:t>
      </w:r>
    </w:p>
    <w:p w:rsidR="003B2A2D" w:rsidRPr="003B2A2D" w:rsidP="003B2A2D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aos</w:t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mecanismos de alienação;</w:t>
      </w:r>
    </w:p>
    <w:p w:rsidR="003B2A2D" w:rsidRPr="003B2A2D" w:rsidP="003B2A2D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às</w:t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garantias jurídicas da operação.</w:t>
      </w:r>
    </w:p>
    <w:p w:rsidR="003B2A2D" w:rsidRPr="003B2A2D" w:rsidP="003B2A2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3B2A2D" w:rsidRPr="0003179B" w:rsidP="003B2A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3B2A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Dessa forma, não se mostra necessária a apresentação de substitutivo, emendas ou subemendas, recomendando-se a aprovação do projeto na forma original.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="t" fillcolor="#a0a0a0" stroked="f"/>
        </w:pict>
      </w:r>
    </w:p>
    <w:p w:rsidR="003B2A2D" w:rsidP="003B2A2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3B2A2D" w:rsidRPr="008E28F9" w:rsidP="003B2A2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E28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IV – DECISÃO DA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</w:t>
      </w:r>
    </w:p>
    <w:p w:rsidR="003B2A2D" w:rsidP="003B2A2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702D89" w:rsidRPr="00702D89" w:rsidP="00702D89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02D89">
        <w:rPr>
          <w:rFonts w:ascii="Times New Roman" w:hAnsi="Times New Roman" w:cs="Times New Roman"/>
          <w:sz w:val="24"/>
          <w:szCs w:val="24"/>
        </w:rPr>
        <w:t>A Comissão de Obras, Serviços Públicos e Atividades Privadas, no exercício de suas atribuições regimentais, após análise minuciosa do Projeto de Lei nº 31/2026 e da documentação que o instrui, reconhece a relevância técnica e administrativa da matéria.</w:t>
      </w:r>
    </w:p>
    <w:p w:rsidR="00702D89" w:rsidRPr="00702D89" w:rsidP="00702D89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2D89" w:rsidRPr="00702D89" w:rsidP="00702D89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02D89">
        <w:rPr>
          <w:rFonts w:ascii="Times New Roman" w:hAnsi="Times New Roman" w:cs="Times New Roman"/>
          <w:sz w:val="24"/>
          <w:szCs w:val="24"/>
        </w:rPr>
        <w:t>Verifica-se que a proposição representa instrumento eficaz de gestão do patrimônio público, permitindo sua adequada destinação para fins de interesse social, em consonância com as políticas públicas de habitação e desenvolvimento urbano.</w:t>
      </w:r>
    </w:p>
    <w:p w:rsidR="00702D89" w:rsidRPr="00702D89" w:rsidP="00102582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A2D" w:rsidP="00702D89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02D89">
        <w:rPr>
          <w:rFonts w:ascii="Times New Roman" w:hAnsi="Times New Roman" w:cs="Times New Roman"/>
          <w:sz w:val="24"/>
          <w:szCs w:val="24"/>
        </w:rPr>
        <w:t>Constata-se, ainda, que a proposta observa os princípios da legalidade, eficiência, interesse público e planejamento urbano, não apresentando vícios que comprometam sua tramitação.</w:t>
      </w:r>
    </w:p>
    <w:p w:rsidR="003B2A2D" w:rsidP="003B2A2D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102582" w:rsidRPr="005D2C7A" w:rsidP="003B2A2D">
      <w:pPr>
        <w:pStyle w:val="NoSpacing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702D89" w:rsidP="003B2A2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3B2A2D" w:rsidP="003B2A2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SALA DAS SESSÕES</w:t>
      </w:r>
      <w:r w:rsidR="006C2EC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“VEREADOR SANTO RÓTTOLI”, em 24</w:t>
      </w:r>
      <w:r w:rsidR="00702D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abril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2026</w:t>
      </w: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</w:t>
      </w:r>
    </w:p>
    <w:p w:rsidR="003B2A2D" w:rsidP="003B2A2D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B2A2D" w:rsidP="003B2A2D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B2A2D" w:rsidRPr="00DC1D64" w:rsidP="003B2A2D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1D64">
        <w:rPr>
          <w:rFonts w:ascii="Times New Roman" w:hAnsi="Times New Roman" w:cs="Times New Roman"/>
          <w:i/>
          <w:sz w:val="24"/>
          <w:szCs w:val="24"/>
        </w:rPr>
        <w:t>(</w:t>
      </w:r>
      <w:r w:rsidRPr="00DC1D64">
        <w:rPr>
          <w:rFonts w:ascii="Times New Roman" w:hAnsi="Times New Roman" w:cs="Times New Roman"/>
          <w:i/>
          <w:sz w:val="24"/>
          <w:szCs w:val="24"/>
        </w:rPr>
        <w:t>assinado</w:t>
      </w:r>
      <w:r w:rsidRPr="00DC1D64">
        <w:rPr>
          <w:rFonts w:ascii="Times New Roman" w:hAnsi="Times New Roman" w:cs="Times New Roman"/>
          <w:i/>
          <w:sz w:val="24"/>
          <w:szCs w:val="24"/>
        </w:rPr>
        <w:t xml:space="preserve"> digitalmente)</w:t>
      </w:r>
    </w:p>
    <w:p w:rsidR="003B2A2D" w:rsidRPr="002717DE" w:rsidP="003B2A2D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2717DE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ADEMIR SOUZA FLORETTI JUNIOR</w:t>
      </w:r>
    </w:p>
    <w:p w:rsidR="003B2A2D" w:rsidRPr="005D2C7A" w:rsidP="003B2A2D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7DE">
        <w:rPr>
          <w:rFonts w:ascii="Times New Roman" w:hAnsi="Times New Roman" w:cs="Times New Roman"/>
          <w:sz w:val="24"/>
          <w:szCs w:val="24"/>
        </w:rPr>
        <w:t>Relator</w:t>
      </w:r>
    </w:p>
    <w:p w:rsidR="003B2A2D" w:rsidRPr="00102582" w:rsidP="003B2A2D">
      <w:pPr>
        <w:pStyle w:val="Heading3"/>
        <w:spacing w:line="360" w:lineRule="auto"/>
        <w:rPr>
          <w:rStyle w:val="Strong"/>
          <w:b/>
          <w:sz w:val="24"/>
          <w:szCs w:val="24"/>
          <w:u w:val="single"/>
        </w:rPr>
      </w:pPr>
      <w:r w:rsidRPr="00102582">
        <w:rPr>
          <w:rStyle w:val="Strong"/>
          <w:b/>
          <w:sz w:val="24"/>
          <w:szCs w:val="24"/>
          <w:u w:val="single"/>
        </w:rPr>
        <w:t>REFERÊNCIAS</w:t>
      </w:r>
    </w:p>
    <w:p w:rsidR="00102582" w:rsidRPr="00102582" w:rsidP="00102582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582">
        <w:rPr>
          <w:rFonts w:ascii="Times New Roman" w:eastAsia="Times New Roman" w:hAnsi="Times New Roman" w:cs="Times New Roman"/>
          <w:sz w:val="24"/>
          <w:szCs w:val="24"/>
          <w:lang w:eastAsia="pt-BR"/>
        </w:rPr>
        <w:t>Constituição da República Federativa do Brasil de 1988</w:t>
      </w:r>
    </w:p>
    <w:p w:rsidR="00102582" w:rsidRPr="00102582" w:rsidP="00102582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582">
        <w:rPr>
          <w:rFonts w:ascii="Times New Roman" w:eastAsia="Times New Roman" w:hAnsi="Times New Roman" w:cs="Times New Roman"/>
          <w:sz w:val="24"/>
          <w:szCs w:val="24"/>
          <w:lang w:eastAsia="pt-BR"/>
        </w:rPr>
        <w:t>Lei Federal nº 14.133/2021</w:t>
      </w:r>
    </w:p>
    <w:p w:rsidR="00102582" w:rsidRPr="00102582" w:rsidP="00102582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582">
        <w:rPr>
          <w:rFonts w:ascii="Times New Roman" w:eastAsia="Times New Roman" w:hAnsi="Times New Roman" w:cs="Times New Roman"/>
          <w:sz w:val="24"/>
          <w:szCs w:val="24"/>
          <w:lang w:eastAsia="pt-BR"/>
        </w:rPr>
        <w:t>Lei Federal nº 4.591/1964</w:t>
      </w:r>
    </w:p>
    <w:p w:rsidR="00102582" w:rsidRPr="00102582" w:rsidP="00102582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582">
        <w:rPr>
          <w:rFonts w:ascii="Times New Roman" w:eastAsia="Times New Roman" w:hAnsi="Times New Roman" w:cs="Times New Roman"/>
          <w:sz w:val="24"/>
          <w:szCs w:val="24"/>
          <w:lang w:eastAsia="pt-BR"/>
        </w:rPr>
        <w:t>Estatuto da Cidade – Lei nº 10.257/2001</w:t>
      </w:r>
    </w:p>
    <w:p w:rsidR="00102582" w:rsidRPr="00102582" w:rsidP="00102582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582">
        <w:rPr>
          <w:rFonts w:ascii="Times New Roman" w:eastAsia="Times New Roman" w:hAnsi="Times New Roman" w:cs="Times New Roman"/>
          <w:sz w:val="24"/>
          <w:szCs w:val="24"/>
          <w:lang w:eastAsia="pt-BR"/>
        </w:rPr>
        <w:t>Plano Diretor do Município de Mogi Mirim</w:t>
      </w:r>
    </w:p>
    <w:p w:rsidR="00102582" w:rsidRPr="00102582" w:rsidP="00102582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582">
        <w:rPr>
          <w:rFonts w:ascii="Times New Roman" w:eastAsia="Times New Roman" w:hAnsi="Times New Roman" w:cs="Times New Roman"/>
          <w:sz w:val="24"/>
          <w:szCs w:val="24"/>
          <w:lang w:eastAsia="pt-BR"/>
        </w:rPr>
        <w:t>Documentação técnica e jurídica constante do Processo nº 001295.000020/2026-22</w:t>
      </w:r>
    </w:p>
    <w:p w:rsidR="003B2A2D" w:rsidRPr="00102582" w:rsidP="00102582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/>
        </w:rPr>
      </w:pPr>
      <w:r w:rsidRPr="00102582"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31/2026</w:t>
      </w:r>
      <w:r w:rsidRPr="00102582">
        <w:rPr>
          <w:b/>
          <w:sz w:val="24"/>
          <w:szCs w:val="24"/>
        </w:rPr>
        <w:br w:type="page"/>
      </w:r>
    </w:p>
    <w:p w:rsidR="003B2A2D" w:rsidRPr="002B48CC" w:rsidP="003B2A2D">
      <w:pPr>
        <w:pStyle w:val="Standard"/>
        <w:spacing w:line="360" w:lineRule="auto"/>
        <w:ind w:left="360"/>
        <w:jc w:val="both"/>
        <w:rPr>
          <w:iCs/>
          <w:color w:val="000000"/>
          <w:sz w:val="24"/>
          <w:szCs w:val="24"/>
        </w:rPr>
      </w:pPr>
      <w:r w:rsidRPr="002B48CC">
        <w:rPr>
          <w:b/>
          <w:sz w:val="24"/>
          <w:szCs w:val="24"/>
        </w:rPr>
        <w:t xml:space="preserve">PARECER DA </w:t>
      </w:r>
      <w:r>
        <w:rPr>
          <w:b/>
          <w:sz w:val="24"/>
          <w:szCs w:val="24"/>
        </w:rPr>
        <w:t>COMISSÃO</w:t>
      </w:r>
      <w:r w:rsidRPr="002B48CC">
        <w:rPr>
          <w:b/>
          <w:sz w:val="24"/>
          <w:szCs w:val="24"/>
        </w:rPr>
        <w:t xml:space="preserve"> DE</w:t>
      </w:r>
      <w:r>
        <w:rPr>
          <w:b/>
          <w:sz w:val="24"/>
          <w:szCs w:val="24"/>
        </w:rPr>
        <w:t xml:space="preserve"> </w:t>
      </w:r>
      <w:r w:rsidRPr="002B48CC">
        <w:rPr>
          <w:b/>
          <w:sz w:val="24"/>
          <w:szCs w:val="24"/>
        </w:rPr>
        <w:t>OBRAS, SERVIÇOS</w:t>
      </w:r>
      <w:r>
        <w:rPr>
          <w:b/>
          <w:sz w:val="24"/>
          <w:szCs w:val="24"/>
        </w:rPr>
        <w:t xml:space="preserve"> PÚBLICOS E ATIVIDADES PRIVADAS </w:t>
      </w:r>
      <w:r w:rsidRPr="002B48CC">
        <w:rPr>
          <w:b/>
          <w:sz w:val="24"/>
          <w:szCs w:val="24"/>
        </w:rPr>
        <w:t xml:space="preserve">REFERENTE AO </w:t>
      </w:r>
      <w:r>
        <w:rPr>
          <w:b/>
          <w:sz w:val="24"/>
          <w:szCs w:val="24"/>
        </w:rPr>
        <w:t xml:space="preserve">PROJETO DE LEI Nº </w:t>
      </w:r>
      <w:r w:rsidR="00102582">
        <w:rPr>
          <w:b/>
          <w:sz w:val="24"/>
          <w:szCs w:val="24"/>
        </w:rPr>
        <w:t>31/2026</w:t>
      </w:r>
      <w:r w:rsidRPr="002B48CC">
        <w:rPr>
          <w:b/>
          <w:sz w:val="24"/>
          <w:szCs w:val="24"/>
        </w:rPr>
        <w:t xml:space="preserve"> QUE </w:t>
      </w:r>
      <w:r w:rsidRPr="0019538E">
        <w:rPr>
          <w:b/>
          <w:i/>
          <w:sz w:val="24"/>
          <w:szCs w:val="24"/>
        </w:rPr>
        <w:t>“</w:t>
      </w:r>
      <w:r w:rsidRPr="00102582" w:rsidR="00102582">
        <w:rPr>
          <w:b/>
          <w:i/>
          <w:sz w:val="24"/>
          <w:szCs w:val="24"/>
        </w:rPr>
        <w:t xml:space="preserve">DISPÕE SOBRE A DESAFETAÇÃO DE IMÓVEIS MUNICIPAIS, A ALTERAÇÃO DA DESTINAÇÃO, AUTORIZAÇÃO PARA ALIENAÇÃO POR MEIO DE INCORPORAÇÃO IMOBILIÁRIA, MEDIANTE LICITAÇÃO NA MODALIDADE CONCORRÊNCIA, E OFERECER EM GARANTIA DE CRÉDITO </w:t>
      </w:r>
      <w:r w:rsidRPr="00102582" w:rsidR="00102582">
        <w:rPr>
          <w:b/>
          <w:i/>
          <w:sz w:val="24"/>
          <w:szCs w:val="24"/>
        </w:rPr>
        <w:t>IMOBILIÁRIO.</w:t>
      </w:r>
      <w:r w:rsidRPr="0019538E">
        <w:rPr>
          <w:b/>
          <w:i/>
          <w:sz w:val="24"/>
          <w:szCs w:val="24"/>
        </w:rPr>
        <w:t>”</w:t>
      </w:r>
      <w:r w:rsidRPr="002B48CC">
        <w:rPr>
          <w:iCs/>
          <w:color w:val="000000"/>
          <w:sz w:val="24"/>
          <w:szCs w:val="24"/>
        </w:rPr>
        <w:tab/>
      </w:r>
    </w:p>
    <w:p w:rsidR="003B2A2D" w:rsidRPr="002B48CC" w:rsidP="003B2A2D">
      <w:pPr>
        <w:pStyle w:val="Standard"/>
        <w:spacing w:line="360" w:lineRule="auto"/>
        <w:ind w:left="360"/>
        <w:jc w:val="both"/>
        <w:rPr>
          <w:iCs/>
          <w:color w:val="000000"/>
          <w:sz w:val="24"/>
          <w:szCs w:val="24"/>
        </w:rPr>
      </w:pPr>
    </w:p>
    <w:p w:rsidR="003B2A2D" w:rsidRPr="002B48CC" w:rsidP="003B2A2D">
      <w:pPr>
        <w:pStyle w:val="Standard"/>
        <w:spacing w:line="360" w:lineRule="auto"/>
        <w:ind w:left="360"/>
        <w:jc w:val="both"/>
        <w:rPr>
          <w:sz w:val="24"/>
          <w:szCs w:val="24"/>
        </w:rPr>
      </w:pPr>
      <w:r w:rsidRPr="002B48CC">
        <w:rPr>
          <w:rFonts w:eastAsia="Arial"/>
          <w:color w:val="000000"/>
          <w:sz w:val="24"/>
          <w:szCs w:val="24"/>
        </w:rPr>
        <w:t>Seguindo o Voto exarado pelo Relator e conforme determina o artigo</w:t>
      </w:r>
      <w:r>
        <w:rPr>
          <w:rFonts w:eastAsia="Arial"/>
          <w:color w:val="000000"/>
          <w:sz w:val="24"/>
          <w:szCs w:val="24"/>
        </w:rPr>
        <w:t xml:space="preserve"> </w:t>
      </w:r>
      <w:r w:rsidRPr="002B48CC">
        <w:rPr>
          <w:rFonts w:eastAsia="Arial"/>
          <w:color w:val="000000"/>
          <w:sz w:val="24"/>
          <w:szCs w:val="24"/>
        </w:rPr>
        <w:t>38</w:t>
      </w:r>
      <w:r>
        <w:rPr>
          <w:rFonts w:eastAsia="Arial"/>
          <w:color w:val="000000"/>
          <w:sz w:val="24"/>
          <w:szCs w:val="24"/>
        </w:rPr>
        <w:t xml:space="preserve"> </w:t>
      </w:r>
      <w:r w:rsidRPr="002B48CC">
        <w:rPr>
          <w:rFonts w:eastAsia="Arial"/>
          <w:color w:val="000000"/>
          <w:sz w:val="24"/>
          <w:szCs w:val="24"/>
        </w:rPr>
        <w:t xml:space="preserve">da Resolução n.º 276 de 09 de novembro de 2.010, a Comissão Permanente de </w:t>
      </w:r>
      <w:r>
        <w:rPr>
          <w:rFonts w:eastAsia="Arial"/>
          <w:color w:val="000000"/>
          <w:sz w:val="24"/>
          <w:szCs w:val="24"/>
        </w:rPr>
        <w:t xml:space="preserve">Comissões de </w:t>
      </w:r>
      <w:r w:rsidRPr="002B48CC">
        <w:rPr>
          <w:rFonts w:eastAsia="Arial"/>
          <w:color w:val="000000"/>
          <w:sz w:val="24"/>
          <w:szCs w:val="24"/>
        </w:rPr>
        <w:t>Obras, Serviços</w:t>
      </w:r>
      <w:r>
        <w:rPr>
          <w:rFonts w:eastAsia="Arial"/>
          <w:color w:val="000000"/>
          <w:sz w:val="24"/>
          <w:szCs w:val="24"/>
        </w:rPr>
        <w:t xml:space="preserve"> Públicos e Atividades Privadas </w:t>
      </w:r>
      <w:r w:rsidRPr="002B48CC">
        <w:rPr>
          <w:rFonts w:eastAsia="Arial"/>
          <w:color w:val="000000"/>
          <w:sz w:val="24"/>
          <w:szCs w:val="24"/>
        </w:rPr>
        <w:t xml:space="preserve">formaliza o presente </w:t>
      </w:r>
      <w:r w:rsidRPr="002B48CC">
        <w:rPr>
          <w:rFonts w:eastAsia="Arial"/>
          <w:b/>
          <w:color w:val="000000"/>
          <w:sz w:val="24"/>
          <w:szCs w:val="24"/>
        </w:rPr>
        <w:t>PARECER FAVORÁVEL</w:t>
      </w:r>
      <w:r w:rsidRPr="002B48CC">
        <w:rPr>
          <w:rFonts w:eastAsia="Arial"/>
          <w:color w:val="000000"/>
          <w:sz w:val="24"/>
          <w:szCs w:val="24"/>
        </w:rPr>
        <w:t>.</w:t>
      </w:r>
    </w:p>
    <w:p w:rsidR="003B2A2D" w:rsidRPr="002B48CC" w:rsidP="003B2A2D">
      <w:pPr>
        <w:pStyle w:val="Standard"/>
        <w:spacing w:line="276" w:lineRule="auto"/>
        <w:ind w:left="360"/>
        <w:jc w:val="both"/>
        <w:rPr>
          <w:iCs/>
          <w:sz w:val="24"/>
          <w:szCs w:val="24"/>
        </w:rPr>
      </w:pPr>
    </w:p>
    <w:p w:rsidR="003B2A2D" w:rsidP="003B2A2D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3B2A2D" w:rsidP="003B2A2D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3B2A2D" w:rsidP="003B2A2D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3B2A2D" w:rsidRPr="002B48CC" w:rsidP="003B2A2D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3B2A2D" w:rsidRPr="002B48CC" w:rsidP="003B2A2D">
      <w:pPr>
        <w:pStyle w:val="Standard"/>
        <w:spacing w:line="276" w:lineRule="auto"/>
        <w:ind w:left="360"/>
        <w:jc w:val="center"/>
        <w:rPr>
          <w:sz w:val="24"/>
          <w:szCs w:val="24"/>
        </w:rPr>
      </w:pPr>
      <w:r w:rsidRPr="002B48CC">
        <w:rPr>
          <w:b/>
          <w:iCs/>
          <w:sz w:val="24"/>
          <w:szCs w:val="24"/>
        </w:rPr>
        <w:t>Sala das Comiss</w:t>
      </w:r>
      <w:r w:rsidR="006C2EC9">
        <w:rPr>
          <w:b/>
          <w:iCs/>
          <w:sz w:val="24"/>
          <w:szCs w:val="24"/>
        </w:rPr>
        <w:t>ões, 24</w:t>
      </w:r>
      <w:bookmarkStart w:id="0" w:name="_GoBack"/>
      <w:bookmarkEnd w:id="0"/>
      <w:r w:rsidRPr="002B48CC">
        <w:rPr>
          <w:b/>
          <w:iCs/>
          <w:sz w:val="24"/>
          <w:szCs w:val="24"/>
        </w:rPr>
        <w:t xml:space="preserve"> de </w:t>
      </w:r>
      <w:r w:rsidR="00102582">
        <w:rPr>
          <w:b/>
          <w:iCs/>
          <w:sz w:val="24"/>
          <w:szCs w:val="24"/>
        </w:rPr>
        <w:t>abril</w:t>
      </w:r>
      <w:r>
        <w:rPr>
          <w:b/>
          <w:iCs/>
          <w:sz w:val="24"/>
          <w:szCs w:val="24"/>
        </w:rPr>
        <w:t xml:space="preserve"> de 2026</w:t>
      </w:r>
      <w:r w:rsidRPr="002B48CC">
        <w:rPr>
          <w:b/>
          <w:iCs/>
          <w:sz w:val="24"/>
          <w:szCs w:val="24"/>
        </w:rPr>
        <w:t>.</w:t>
      </w:r>
    </w:p>
    <w:p w:rsidR="003B2A2D" w:rsidRPr="002B48CC" w:rsidP="003B2A2D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3B2A2D" w:rsidP="003B2A2D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3B2A2D" w:rsidP="003B2A2D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3B2A2D" w:rsidP="003B2A2D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3B2A2D" w:rsidP="003B2A2D">
      <w:pPr>
        <w:pStyle w:val="Standard"/>
        <w:spacing w:line="276" w:lineRule="auto"/>
        <w:rPr>
          <w:b/>
          <w:iCs/>
          <w:sz w:val="24"/>
          <w:szCs w:val="24"/>
          <w:u w:val="single"/>
        </w:rPr>
      </w:pPr>
    </w:p>
    <w:p w:rsidR="003B2A2D" w:rsidP="003B2A2D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</w:p>
    <w:p w:rsidR="003B2A2D" w:rsidRPr="002B48CC" w:rsidP="003B2A2D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  <w:u w:val="single"/>
        </w:rPr>
      </w:pPr>
      <w:r w:rsidRPr="002B48CC">
        <w:rPr>
          <w:b/>
          <w:iCs/>
          <w:sz w:val="24"/>
          <w:szCs w:val="24"/>
          <w:u w:val="single"/>
        </w:rPr>
        <w:t xml:space="preserve">COMISSÃO DE OBRAS, SERVIÇOS PÚBLICOS E ATIVIDADES PRIVADAS </w:t>
      </w:r>
    </w:p>
    <w:p w:rsidR="003B2A2D" w:rsidRPr="002B48CC" w:rsidP="003B2A2D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3B2A2D" w:rsidP="003B2A2D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3B2A2D" w:rsidP="003B2A2D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3B2A2D" w:rsidRPr="002B48CC" w:rsidP="003B2A2D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3B2A2D" w:rsidRPr="002B48CC" w:rsidP="003B2A2D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Ademir Souza </w:t>
      </w:r>
      <w:r w:rsidRPr="002B48CC">
        <w:rPr>
          <w:b/>
          <w:iCs/>
          <w:sz w:val="24"/>
          <w:szCs w:val="24"/>
        </w:rPr>
        <w:t>Floretti</w:t>
      </w:r>
      <w:r w:rsidRPr="002B48CC">
        <w:rPr>
          <w:b/>
          <w:iCs/>
          <w:sz w:val="24"/>
          <w:szCs w:val="24"/>
        </w:rPr>
        <w:t xml:space="preserve"> Junior</w:t>
      </w:r>
    </w:p>
    <w:p w:rsidR="003B2A2D" w:rsidRPr="002B48CC" w:rsidP="003B2A2D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Presidente</w:t>
      </w:r>
      <w:r>
        <w:rPr>
          <w:iCs/>
          <w:sz w:val="24"/>
          <w:szCs w:val="24"/>
        </w:rPr>
        <w:t>/Relator</w:t>
      </w:r>
    </w:p>
    <w:p w:rsidR="003B2A2D" w:rsidRPr="002B48CC" w:rsidP="003B2A2D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3B2A2D" w:rsidP="003B2A2D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3B2A2D" w:rsidRPr="002B48CC" w:rsidP="003B2A2D">
      <w:pPr>
        <w:pStyle w:val="Standard"/>
        <w:spacing w:line="276" w:lineRule="auto"/>
        <w:ind w:left="360"/>
        <w:rPr>
          <w:b/>
          <w:iCs/>
          <w:sz w:val="24"/>
          <w:szCs w:val="24"/>
        </w:rPr>
      </w:pPr>
    </w:p>
    <w:p w:rsidR="003B2A2D" w:rsidRPr="002B48CC" w:rsidP="003B2A2D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Marcos </w:t>
      </w:r>
      <w:r w:rsidRPr="002B48CC">
        <w:rPr>
          <w:b/>
          <w:iCs/>
          <w:sz w:val="24"/>
          <w:szCs w:val="24"/>
        </w:rPr>
        <w:t>Antonio</w:t>
      </w:r>
      <w:r w:rsidRPr="002B48CC">
        <w:rPr>
          <w:b/>
          <w:iCs/>
          <w:sz w:val="24"/>
          <w:szCs w:val="24"/>
        </w:rPr>
        <w:t xml:space="preserve"> Franco</w:t>
      </w:r>
    </w:p>
    <w:p w:rsidR="003B2A2D" w:rsidRPr="002B48CC" w:rsidP="003B2A2D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Vice-Presidente</w:t>
      </w:r>
    </w:p>
    <w:p w:rsidR="003B2A2D" w:rsidP="003B2A2D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3B2A2D" w:rsidRPr="002B48CC" w:rsidP="003B2A2D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3B2A2D" w:rsidP="003B2A2D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</w:p>
    <w:p w:rsidR="003B2A2D" w:rsidRPr="002B48CC" w:rsidP="003B2A2D">
      <w:pPr>
        <w:pStyle w:val="Standard"/>
        <w:spacing w:line="276" w:lineRule="auto"/>
        <w:ind w:left="360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</w:t>
      </w:r>
      <w:r w:rsidRPr="002B48CC">
        <w:rPr>
          <w:b/>
          <w:iCs/>
          <w:sz w:val="24"/>
          <w:szCs w:val="24"/>
        </w:rPr>
        <w:t>Wilians</w:t>
      </w:r>
      <w:r w:rsidRPr="002B48CC">
        <w:rPr>
          <w:b/>
          <w:iCs/>
          <w:sz w:val="24"/>
          <w:szCs w:val="24"/>
        </w:rPr>
        <w:t xml:space="preserve"> Mendes de Oliveira</w:t>
      </w:r>
    </w:p>
    <w:p w:rsidR="003B2A2D" w:rsidP="003B2A2D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Membro</w:t>
      </w:r>
    </w:p>
    <w:p w:rsidR="003B2A2D" w:rsidP="003B2A2D">
      <w:pPr>
        <w:pStyle w:val="Standard"/>
        <w:spacing w:line="276" w:lineRule="auto"/>
        <w:ind w:left="360"/>
        <w:jc w:val="center"/>
        <w:rPr>
          <w:iCs/>
          <w:sz w:val="24"/>
          <w:szCs w:val="24"/>
        </w:rPr>
      </w:pPr>
    </w:p>
    <w:p w:rsidR="00604556"/>
    <w:sectPr w:rsidSect="0006473B">
      <w:headerReference w:type="default" r:id="rId4"/>
      <w:footerReference w:type="default" r:id="rId5"/>
      <w:pgSz w:w="11906" w:h="16838"/>
      <w:pgMar w:top="1440" w:right="1080" w:bottom="851" w:left="108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6DD8" w:rsidRPr="00FD5E1A" w:rsidP="00036D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 w:cs="Times New Roman"/>
        <w:b/>
        <w:bCs/>
        <w:color w:val="000000"/>
        <w:sz w:val="18"/>
        <w:szCs w:val="18"/>
      </w:rPr>
    </w:pPr>
    <w:r w:rsidRPr="00FD5E1A">
      <w:rPr>
        <w:rFonts w:ascii="Times New Roman" w:hAnsi="Times New Roman" w:cs="Times New Roman"/>
        <w:b/>
        <w:bCs/>
        <w:color w:val="000000"/>
        <w:sz w:val="18"/>
        <w:szCs w:val="18"/>
      </w:rPr>
      <w:t>Rua Dr. José Alves, 129 - Centro - Fone: (019) 3814.1200 – Mogi Mirim - SP</w:t>
    </w:r>
  </w:p>
  <w:p w:rsidR="00036DD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6DD8" w:rsidRPr="00036DD8" w:rsidP="00036D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851"/>
      <w:jc w:val="center"/>
      <w:rPr>
        <w:rFonts w:ascii="Arial" w:eastAsia="Arial" w:hAnsi="Arial" w:cs="Arial"/>
        <w:b/>
        <w:color w:val="000000"/>
        <w:sz w:val="24"/>
        <w:szCs w:val="24"/>
      </w:rPr>
    </w:pPr>
    <w:r w:rsidRPr="00036DD8">
      <w:rPr>
        <w:rFonts w:ascii="Arial" w:eastAsia="Arial" w:hAnsi="Arial" w:cs="Arial"/>
        <w:b/>
        <w:noProof/>
        <w:color w:val="000000"/>
        <w:sz w:val="34"/>
        <w:szCs w:val="34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-428625</wp:posOffset>
          </wp:positionH>
          <wp:positionV relativeFrom="paragraph">
            <wp:posOffset>-161290</wp:posOffset>
          </wp:positionV>
          <wp:extent cx="1341380" cy="942975"/>
          <wp:effectExtent l="0" t="0" r="0" b="0"/>
          <wp:wrapNone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6DD8"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036DD8" w:rsidRPr="00036DD8" w:rsidP="00036DD8">
    <w:pPr>
      <w:pBdr>
        <w:top w:val="nil"/>
        <w:left w:val="nil"/>
        <w:bottom w:val="nil"/>
        <w:right w:val="nil"/>
        <w:between w:val="nil"/>
      </w:pBdr>
      <w:ind w:left="993" w:right="360"/>
      <w:jc w:val="center"/>
      <w:rPr>
        <w:rFonts w:ascii="Arial" w:eastAsia="Arial" w:hAnsi="Arial" w:cs="Arial"/>
        <w:b/>
        <w:color w:val="000000"/>
        <w:sz w:val="36"/>
        <w:szCs w:val="36"/>
      </w:rPr>
    </w:pPr>
    <w:r w:rsidRPr="00036DD8">
      <w:rPr>
        <w:rFonts w:ascii="Arial" w:eastAsia="Arial" w:hAnsi="Arial" w:cs="Arial"/>
        <w:b/>
        <w:color w:val="000000"/>
        <w:sz w:val="36"/>
        <w:szCs w:val="36"/>
      </w:rPr>
      <w:t>CÂMARA MUNICIPAL DE MOGI MIRIM</w:t>
    </w:r>
  </w:p>
  <w:p w:rsidR="00036D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6B71E09"/>
    <w:multiLevelType w:val="hybridMultilevel"/>
    <w:tmpl w:val="045A4F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403F5"/>
    <w:multiLevelType w:val="hybridMultilevel"/>
    <w:tmpl w:val="F2FA13E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D444F"/>
    <w:multiLevelType w:val="hybridMultilevel"/>
    <w:tmpl w:val="BE0434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247441"/>
    <w:multiLevelType w:val="hybridMultilevel"/>
    <w:tmpl w:val="4EEC061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806FAF"/>
    <w:multiLevelType w:val="hybridMultilevel"/>
    <w:tmpl w:val="A45043E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7E4B04"/>
    <w:multiLevelType w:val="hybridMultilevel"/>
    <w:tmpl w:val="5D9EC8B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65640D"/>
    <w:multiLevelType w:val="hybridMultilevel"/>
    <w:tmpl w:val="34E491B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191330"/>
    <w:multiLevelType w:val="hybridMultilevel"/>
    <w:tmpl w:val="876224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6727FF"/>
    <w:multiLevelType w:val="hybridMultilevel"/>
    <w:tmpl w:val="146E07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86539A"/>
    <w:multiLevelType w:val="hybridMultilevel"/>
    <w:tmpl w:val="F3D4C68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1637A5"/>
    <w:multiLevelType w:val="hybridMultilevel"/>
    <w:tmpl w:val="F906E9E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F807F4"/>
    <w:multiLevelType w:val="hybridMultilevel"/>
    <w:tmpl w:val="82685E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97267A"/>
    <w:multiLevelType w:val="hybridMultilevel"/>
    <w:tmpl w:val="7C2AD9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2B1EE3"/>
    <w:multiLevelType w:val="hybridMultilevel"/>
    <w:tmpl w:val="2ECA4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0"/>
  </w:num>
  <w:num w:numId="9">
    <w:abstractNumId w:val="3"/>
  </w:num>
  <w:num w:numId="10">
    <w:abstractNumId w:val="5"/>
  </w:num>
  <w:num w:numId="11">
    <w:abstractNumId w:val="9"/>
  </w:num>
  <w:num w:numId="12">
    <w:abstractNumId w:val="11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A2D"/>
    <w:rsid w:val="0003179B"/>
    <w:rsid w:val="00036DD8"/>
    <w:rsid w:val="00102582"/>
    <w:rsid w:val="0019538E"/>
    <w:rsid w:val="002717DE"/>
    <w:rsid w:val="002B48CC"/>
    <w:rsid w:val="003B2A2D"/>
    <w:rsid w:val="003E7A8B"/>
    <w:rsid w:val="005D2C7A"/>
    <w:rsid w:val="00604556"/>
    <w:rsid w:val="006B0634"/>
    <w:rsid w:val="006C2EC9"/>
    <w:rsid w:val="006C561E"/>
    <w:rsid w:val="00702D89"/>
    <w:rsid w:val="008E28F9"/>
    <w:rsid w:val="00A2038D"/>
    <w:rsid w:val="00CF5DAA"/>
    <w:rsid w:val="00D63C54"/>
    <w:rsid w:val="00D74E59"/>
    <w:rsid w:val="00DC1D64"/>
    <w:rsid w:val="00FD5E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1E34547-F4D3-458B-AE06-1E8C2BFC5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2A2D"/>
  </w:style>
  <w:style w:type="paragraph" w:styleId="Heading3">
    <w:name w:val="heading 3"/>
    <w:basedOn w:val="Normal"/>
    <w:link w:val="Ttulo3Char"/>
    <w:uiPriority w:val="9"/>
    <w:qFormat/>
    <w:rsid w:val="003B2A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3Char">
    <w:name w:val="Título 3 Char"/>
    <w:basedOn w:val="DefaultParagraphFont"/>
    <w:link w:val="Heading3"/>
    <w:uiPriority w:val="9"/>
    <w:rsid w:val="003B2A2D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3B2A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B2A2D"/>
  </w:style>
  <w:style w:type="paragraph" w:styleId="Footer">
    <w:name w:val="footer"/>
    <w:basedOn w:val="Normal"/>
    <w:link w:val="RodapChar"/>
    <w:uiPriority w:val="99"/>
    <w:unhideWhenUsed/>
    <w:rsid w:val="003B2A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3B2A2D"/>
  </w:style>
  <w:style w:type="paragraph" w:styleId="NoSpacing">
    <w:name w:val="No Spacing"/>
    <w:uiPriority w:val="1"/>
    <w:qFormat/>
    <w:rsid w:val="003B2A2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B2A2D"/>
    <w:rPr>
      <w:b/>
      <w:bCs/>
    </w:rPr>
  </w:style>
  <w:style w:type="paragraph" w:customStyle="1" w:styleId="Standard">
    <w:name w:val="Standard"/>
    <w:rsid w:val="003B2A2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B2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1274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2026-04-16T14:12:00Z</dcterms:created>
  <dcterms:modified xsi:type="dcterms:W3CDTF">2026-04-24T12:14:00Z</dcterms:modified>
</cp:coreProperties>
</file>