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72BE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5F72BE" w:rsidRPr="006B0634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6B063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COMISSÃO DE OBRAS, SERVIÇOS PÚBLICOS E ATIVIDADES PRIVADAS</w:t>
      </w:r>
    </w:p>
    <w:p w:rsidR="005F72BE" w:rsidRPr="00036DD8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F72BE" w:rsidRPr="0003179B" w:rsidP="005F72BE">
      <w:pPr>
        <w:pStyle w:val="NoSpacing"/>
        <w:spacing w:line="360" w:lineRule="auto"/>
        <w:jc w:val="both"/>
        <w:rPr>
          <w:lang w:eastAsia="pt-BR"/>
        </w:rPr>
      </w:pPr>
    </w:p>
    <w:p w:rsidR="005F72BE" w:rsidP="005F72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F72BE" w:rsidP="005F72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PARECER AO PROJETO DE LEI Nº 27/2026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5F72BE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5F72B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DISPÕE SOBRE REGRAS GERAIS PARA A CIRCULAÇÃO DE EQUIPAMENTOS DE MOBILIDADE INDIVIDUAL AUTOPROPELIDOS, BICICLETAS MOTORIZADAS E CONGÊNERES NO MUNICÍPIO DE MOGI MIRIM E DÁ OUTRAS </w:t>
      </w:r>
      <w:r w:rsidRPr="005F72B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5F72BE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5F72BE" w:rsidRPr="00FD5E1A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5F72BE" w:rsidRPr="00036DD8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F72BE" w:rsidRPr="0003179B" w:rsidP="005F72BE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5F72BE" w:rsidRPr="00A2038D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parecer incide sobre o Projeto de Lei nº 27/2026, de autoria do Vereador Sargento 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Coran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dispõe sobre regras gerais para a circulação de equipamentos de mobilidade individual 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autopropelidos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, bicicletas motorizadas e congêneres no Município de Mogi Mirim.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proposição tem por objeto disciplinar a utilização desses meios de transporte nas vias públicas, ciclovias e 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ciclofaixas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estabelecendo diretrizes voltadas à organização do espaço urbano e à segurança viária, em consonância com a legislação federal vigente.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estrutura-se nos seguintes eixos principais: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 de princípios orientadores, como segurança viária, prioridade do pedestre e uso compartilhado do espaço público (art. 3º);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Adoção de conceitos técnicos conforme normas federais (art. 4º);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Atribuição ao Poder Executivo para disciplinar aspectos operacionais, locais de circulação e campanhas educativas (art. 5º);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Regras gerais de circulação em vias públicas, calçadas, ciclovias e 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ciclofaixas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. 6º a 8º);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Estabelecimento de deveres dos usuários (art. 9º);</w:t>
      </w:r>
    </w:p>
    <w:p w:rsidR="005F72BE" w:rsidRPr="005F72BE" w:rsidP="005F72BE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Previsão de fiscalização e aplicação de penalidades com base no Código de Trânsito Brasileiro (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. 10 e 11).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 justificativa evidencia o crescimento do uso desses equipamentos como alternativa de mobilidade urbana, bem como a necessidade de ordenação do espaço público para redução de conflitos entre usuários.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Sob a ótica desta Comissão, a matéria insere-se diretamente nas competências relativas:</w:t>
      </w:r>
    </w:p>
    <w:p w:rsidR="005F72BE" w:rsidRPr="005F72BE" w:rsidP="005F72B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Ao sistema viário e mobilidade urbana;</w:t>
      </w:r>
    </w:p>
    <w:p w:rsidR="005F72BE" w:rsidRPr="005F72BE" w:rsidP="005F72B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À organização e uso do espaço público;</w:t>
      </w:r>
    </w:p>
    <w:p w:rsidR="005F72BE" w:rsidRPr="005F72BE" w:rsidP="005F72B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À atuação dos serviços públicos municipais de trânsito e fiscalização;</w:t>
      </w:r>
    </w:p>
    <w:p w:rsidR="005F72BE" w:rsidRPr="005F72BE" w:rsidP="005F72BE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sz w:val="24"/>
          <w:szCs w:val="24"/>
          <w:lang w:eastAsia="pt-BR"/>
        </w:rPr>
        <w:t>À interface com políticas urbanas e diretrizes do Plano de Mobilidade.</w:t>
      </w:r>
    </w:p>
    <w:p w:rsid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F72BE" w:rsidRPr="00D74E59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análise técnica desta Comissão restringe-se aos impactos do projeto sobre obras, serviços públicos, mobilidade urbana, uso do espaço viário e organização das atividades correlatas.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1. Organização da circulação e uso do espaço público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apresenta diretrizes que contribuem para a organização do uso compartilhado das vias públicas, especialmente diante da crescente inserção de equipamentos de mobilidade individual no sistema viário urbano.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previsão de:</w:t>
      </w:r>
    </w:p>
    <w:p w:rsidR="005F72BE" w:rsidRPr="005F72BE" w:rsidP="005F72B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Prioridade ao pedestre;</w:t>
      </w:r>
    </w:p>
    <w:p w:rsidR="005F72BE" w:rsidRPr="005F72BE" w:rsidP="005F72B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Condução responsável;</w:t>
      </w:r>
    </w:p>
    <w:p w:rsidR="005F72BE" w:rsidRPr="005F72BE" w:rsidP="005F72BE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Compatibilização com a sinalização existente;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instrumento normativo de ordenação do espaço público, reduzindo conflitos de uso entre modais distintos.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Destaca-se, ainda, a previsão de circulação em calçadas apenas em hipóteses excepcionais, condicionada à segurança do pedestre, o que reforça a hierarquia de proteção no espaço urbano.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2. Integração com a infraestrutura urbana existente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dialoga diretamente com a infraestrutura já implantada no Município, como:</w:t>
      </w:r>
    </w:p>
    <w:p w:rsidR="005F72BE" w:rsidRPr="005F72BE" w:rsidP="005F72B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Ciclovias e 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ciclofaixas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5F72BE" w:rsidRPr="005F72BE" w:rsidP="005F72B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Sistema viário urbano;</w:t>
      </w:r>
    </w:p>
    <w:p w:rsidR="005F72BE" w:rsidRPr="005F72BE" w:rsidP="005F72BE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Sinalização de trânsito.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prever que a utilização desses espaços deverá observar normas e condições estabelecidas pela autoridade municipal, o projeto permite:</w:t>
      </w:r>
    </w:p>
    <w:p w:rsidR="005F72BE" w:rsidRPr="005F72BE" w:rsidP="005F72BE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Adequação à realidade local;</w:t>
      </w:r>
    </w:p>
    <w:p w:rsidR="005F72BE" w:rsidRPr="005F72BE" w:rsidP="005F72BE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Compatibilização com a capacidade da via;</w:t>
      </w:r>
    </w:p>
    <w:p w:rsidR="005F72BE" w:rsidRPr="005F72BE" w:rsidP="005F72BE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Flexibilidade na gestão da mobilidade.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Entretanto, a efetividade da norma dependerá da existência de:</w:t>
      </w:r>
    </w:p>
    <w:p w:rsidR="005F72BE" w:rsidRPr="005F72BE" w:rsidP="005F72BE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Sinalização adequada;</w:t>
      </w:r>
    </w:p>
    <w:p w:rsidR="005F72BE" w:rsidRPr="005F72BE" w:rsidP="005F72BE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 integrado com o sistema 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cicloviário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5F72BE" w:rsidRPr="005F72BE" w:rsidP="005F72BE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Atualização constante das diretrizes operacionais.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Execução dos serviços públicos de trânsito e fiscalização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atribui ao órgão municipal competente a responsabilidade pela fiscalização (art. 10), utilizando a estrutura já existente.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o ponto de vista desta Comissão:</w:t>
      </w:r>
    </w:p>
    <w:p w:rsidR="005F72BE" w:rsidRPr="005F72BE" w:rsidP="005F72BE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é tecnicamente adequada, pois não cria novas estruturas administrativas;</w:t>
      </w:r>
    </w:p>
    <w:p w:rsidR="005F72BE" w:rsidRPr="005F72BE" w:rsidP="005F72BE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Permite execução dentro da capacidade operacional atual;</w:t>
      </w:r>
    </w:p>
    <w:p w:rsidR="005F72BE" w:rsidRPr="005F72BE" w:rsidP="005F72BE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Evita aumento direto de custos.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Todavia, a eficácia da norma dependerá de: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F72BE" w:rsidRPr="005F72BE" w:rsidP="005F72BE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Padronização de procedimentos fiscalizatórios;</w:t>
      </w:r>
    </w:p>
    <w:p w:rsidR="005F72BE" w:rsidRPr="005F72BE" w:rsidP="005F72BE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Capacitação dos agentes de trânsito;</w:t>
      </w:r>
    </w:p>
    <w:p w:rsidR="005F72BE" w:rsidRPr="005F72BE" w:rsidP="005F72BE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Integração com ações educativas previstas no art. 5º.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Regulamentação e operacionalização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delega ao Poder Executivo a regulamentação de aspectos técnicos e operacionais (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arts</w:t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5º e 12), o que, sob a ótica desta Comissão, é adequado, pois:</w:t>
      </w:r>
    </w:p>
    <w:p w:rsidR="005F72BE" w:rsidRPr="005F72BE" w:rsidP="005F72BE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Permite ajustes dinâmicos conforme evolução tecnológica dos equipamentos;</w:t>
      </w:r>
    </w:p>
    <w:p w:rsidR="005F72BE" w:rsidRPr="005F72BE" w:rsidP="005F72BE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Viabiliza a definição de critérios como velocidade, áreas de restrição e horários;</w:t>
      </w:r>
    </w:p>
    <w:p w:rsidR="005F72BE" w:rsidRPr="005F72BE" w:rsidP="005F72BE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Garante aderência às condições reais do sistema viário.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Essa técnica normativa favorece a aplicabilidade prática da lei.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Impacto na mobilidade urbana e serviços correlatos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proposição apresenta impacto positivo na organização da mobilidade urbana ao:</w:t>
      </w:r>
    </w:p>
    <w:p w:rsidR="005F72BE" w:rsidRPr="005F72BE" w:rsidP="005F72B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Estabelecer parâmetros mínimos de convivência entre modais;</w:t>
      </w:r>
    </w:p>
    <w:p w:rsidR="005F72BE" w:rsidRPr="005F72BE" w:rsidP="005F72B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Reduzir conflitos entre pedestres e usuários desses equipamentos;</w:t>
      </w:r>
    </w:p>
    <w:p w:rsidR="005F72BE" w:rsidRPr="005F72BE" w:rsidP="005F72BE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Incentivar o uso ordenado de meios de transporte alternativos.</w:t>
      </w:r>
    </w:p>
    <w:p w:rsidR="005F72BE" w:rsidRPr="005F72BE" w:rsidP="005F72B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contribui para:</w:t>
      </w:r>
    </w:p>
    <w:p w:rsidR="005F72BE" w:rsidRPr="005F72BE" w:rsidP="005F72BE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 da segurança viária;</w:t>
      </w:r>
    </w:p>
    <w:p w:rsidR="005F72BE" w:rsidRPr="005F72BE" w:rsidP="005F72BE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Racionalização do uso do espaço público;</w:t>
      </w:r>
    </w:p>
    <w:p w:rsidR="005F72BE" w:rsidRPr="005F72BE" w:rsidP="005F72BE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5F72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Apoio às diretrizes de mobilidade sustentável.</w:t>
      </w:r>
      <w:r>
        <w:rPr>
          <w:lang w:eastAsia="pt-BR"/>
        </w:rPr>
        <w:pict>
          <v:rect id="_x0000_i1027" style="width:0;height:1.5pt" o:hralign="center" o:hrstd="t" o:hr="t" fillcolor="#a0a0a0" stroked="f"/>
        </w:pict>
      </w:r>
    </w:p>
    <w:p w:rsidR="005F72BE" w:rsidRPr="00D63C54" w:rsidP="005F72B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técnica da matéria no âmbito de competência desta Comissão, não se vislumbra a necessidade de apresentação de novas emendas, substitutivos ou subemendas, uma vez que os pontos de aprimoramento identificados dizem respeito, em sua maioria, a aspectos de redação, clareza normativa e precisão técnica já devidamente apontados em manifestações anteriores no curso da tramitação legislativa.</w:t>
      </w: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Nesse sentido, esta Comissão manifesta concordância com os ajustes redacionais e técnicos anteriormente propostos, especialmente aqueles </w:t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voltados à</w:t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A1ED4" w:rsidRPr="007A1ED4" w:rsidP="007A1E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Correção de impropriedades gramaticais;</w:t>
      </w:r>
    </w:p>
    <w:p w:rsidR="007A1ED4" w:rsidRPr="007A1ED4" w:rsidP="007A1E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Aperfeiçoamento da clareza dos dispositivos;</w:t>
      </w:r>
    </w:p>
    <w:p w:rsidR="007A1ED4" w:rsidRPr="007A1ED4" w:rsidP="007A1E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Eliminação de redundâncias textuais;</w:t>
      </w:r>
    </w:p>
    <w:p w:rsidR="007A1ED4" w:rsidRPr="007A1ED4" w:rsidP="007A1ED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 definição operacional de comandos normativos.</w:t>
      </w: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Tais adequações, já sugeridas em pareceres precedentes, mostram-se suficientes para o aperfeiçoamento da proposição, contribuindo para sua melhor aplicabilidade no âmbito dos serviços públicos e da organização da mobilidade urbana.</w:t>
      </w:r>
    </w:p>
    <w:p w:rsidR="007A1ED4" w:rsidRPr="007A1ED4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F72BE" w:rsidRPr="0003179B" w:rsidP="007A1E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7A1E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Dessa forma, esta Comissão acolhe integralmente as sugestões de aprimoramento já apresentadas, entendendo que sua eventual incorporação ao texto final atenderá plenamente às exigências de técnica legislativa e operacionalidade da norma, sem necessidade de novas intervenções por parte deste colegiado.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5F72BE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F72BE" w:rsidRPr="008E28F9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</w:t>
      </w:r>
    </w:p>
    <w:p w:rsidR="005F72BE" w:rsidP="005F72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1ED4">
        <w:rPr>
          <w:rFonts w:ascii="Times New Roman" w:hAnsi="Times New Roman" w:cs="Times New Roman"/>
          <w:sz w:val="24"/>
          <w:szCs w:val="24"/>
        </w:rPr>
        <w:t>Considerando os aspectos analisados no âmbito das competências desta Comissão, especialmente aqueles relacionados à mobilidade urbana, ao uso e organização do espaço público e à execução dos serviços municipais de trânsito e fiscalização, conclui-se que o Projeto de Lei nº 27/2026 apresenta adequada conformidade técnica e operacional.</w:t>
      </w: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1ED4">
        <w:rPr>
          <w:rFonts w:ascii="Times New Roman" w:hAnsi="Times New Roman" w:cs="Times New Roman"/>
          <w:sz w:val="24"/>
          <w:szCs w:val="24"/>
        </w:rPr>
        <w:t>A proposição contribui para o ordenamento da circulação de equipamentos de mobilidade individual no Município, promovendo maior segurança viária, melhor utilização da infraestrutura existente e harmonização entre os diferentes usuários das vias públicas.</w:t>
      </w: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1ED4">
        <w:rPr>
          <w:rFonts w:ascii="Times New Roman" w:hAnsi="Times New Roman" w:cs="Times New Roman"/>
          <w:sz w:val="24"/>
          <w:szCs w:val="24"/>
        </w:rPr>
        <w:t>Verifica-se, ainda, que a proposta está alinhada às diretrizes de mobilidade urbana sustentável e possibilita sua implementação por meio da estrutura administrativa já existente, favorecendo sua aplicabilidade prática.</w:t>
      </w:r>
    </w:p>
    <w:p w:rsidR="007A1ED4" w:rsidRP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D4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2BE" w:rsidP="007A1ED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1E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ssim sendo, a</w:t>
      </w:r>
      <w:r w:rsidRPr="007A1ED4">
        <w:rPr>
          <w:rFonts w:ascii="Times New Roman" w:hAnsi="Times New Roman" w:cs="Times New Roman"/>
          <w:sz w:val="24"/>
          <w:szCs w:val="24"/>
        </w:rPr>
        <w:t xml:space="preserve"> Comissão de Obras, Serviços Públicos e Atividades Privadas </w:t>
      </w:r>
      <w:r w:rsidRPr="007A1ED4">
        <w:rPr>
          <w:rFonts w:ascii="Times New Roman" w:hAnsi="Times New Roman" w:cs="Times New Roman"/>
          <w:b/>
          <w:sz w:val="24"/>
          <w:szCs w:val="24"/>
        </w:rPr>
        <w:t>OPINA FAVORAVELMENTE</w:t>
      </w:r>
      <w:r w:rsidRPr="007A1ED4">
        <w:rPr>
          <w:rFonts w:ascii="Times New Roman" w:hAnsi="Times New Roman" w:cs="Times New Roman"/>
          <w:sz w:val="24"/>
          <w:szCs w:val="24"/>
        </w:rPr>
        <w:t xml:space="preserve"> à aprovação do Projeto de Lei nº 27/2026.</w:t>
      </w:r>
    </w:p>
    <w:p w:rsidR="005F72BE" w:rsidRPr="005D2C7A" w:rsidP="005F72BE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F72BE" w:rsidP="005F72B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ED4" w:rsidP="005F72B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1ED4" w:rsidP="005F72B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F72BE" w:rsidP="005F72B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2969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abril de 2026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5F72BE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1ED4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F72BE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F72BE" w:rsidRPr="00DC1D64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5F72BE" w:rsidRPr="002717DE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5F72BE" w:rsidRPr="005D2C7A" w:rsidP="005F72BE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7A1ED4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</w:p>
    <w:p w:rsidR="005F72BE" w:rsidRPr="00102582" w:rsidP="005F72BE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102582">
        <w:rPr>
          <w:rStyle w:val="Strong"/>
          <w:b/>
          <w:sz w:val="24"/>
          <w:szCs w:val="24"/>
          <w:u w:val="single"/>
        </w:rPr>
        <w:t>REFERÊNCIAS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27/2026 – Câmara Municipal de Mogi Mirim.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 do Projeto de Lei nº 27/2026.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 Técnico de Viabilidade e Necessidade.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 Jurídica nº 107/2026 – UVESP.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da Comissão de Justiça e Redação.</w:t>
      </w:r>
    </w:p>
    <w:p w:rsidR="007A1ED4" w:rsidRP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Trânsito Brasileiro – Lei nº 9.503/1997.</w:t>
      </w:r>
    </w:p>
    <w:p w:rsidR="007A1ED4" w:rsidP="007A1ED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ED4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12.587/2012 – Política Nacional de Mobilidade Urbana.</w:t>
      </w:r>
    </w:p>
    <w:p w:rsidR="005F72BE" w:rsidRPr="007A1ED4" w:rsidP="007A1ED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5F72BE" w:rsidRPr="002B48CC" w:rsidP="005F72BE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DA </w:t>
      </w:r>
      <w:r>
        <w:rPr>
          <w:b/>
          <w:sz w:val="24"/>
          <w:szCs w:val="24"/>
        </w:rPr>
        <w:t>COMISSÃO</w:t>
      </w:r>
      <w:r w:rsidRPr="002B48C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 xml:space="preserve">PROJETO DE LEI Nº </w:t>
      </w:r>
      <w:r w:rsidR="007A1ED4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/2026</w:t>
      </w:r>
      <w:r w:rsidRPr="002B48CC">
        <w:rPr>
          <w:b/>
          <w:sz w:val="24"/>
          <w:szCs w:val="24"/>
        </w:rPr>
        <w:t xml:space="preserve"> QUE </w:t>
      </w:r>
      <w:r w:rsidRPr="0019538E">
        <w:rPr>
          <w:b/>
          <w:i/>
          <w:sz w:val="24"/>
          <w:szCs w:val="24"/>
        </w:rPr>
        <w:t>“</w:t>
      </w:r>
      <w:r w:rsidRPr="007A1ED4" w:rsidR="007A1ED4">
        <w:rPr>
          <w:b/>
          <w:i/>
          <w:sz w:val="24"/>
          <w:szCs w:val="24"/>
        </w:rPr>
        <w:t xml:space="preserve">DISPÕE SOBRE REGRAS GERAIS PARA A CIRCULAÇÃO DE EQUIPAMENTOS DE MOBILIDADE INDIVIDUAL AUTOPROPELIDOS, BICICLETAS MOTORIZADAS E CONGÊNERES NO MUNICÍPIO DE MOGI MIRIM E DÁ OUTRAS </w:t>
      </w:r>
      <w:r w:rsidRPr="007A1ED4" w:rsidR="007A1ED4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5F72BE" w:rsidRPr="002B48CC" w:rsidP="005F72BE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5F72BE" w:rsidRPr="002B48CC" w:rsidP="005F72BE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 o artigo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 </w:t>
      </w:r>
      <w:r w:rsidRPr="002B48CC">
        <w:rPr>
          <w:rFonts w:eastAsia="Arial"/>
          <w:color w:val="000000"/>
          <w:sz w:val="24"/>
          <w:szCs w:val="24"/>
        </w:rPr>
        <w:t xml:space="preserve">formaliza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5F72BE" w:rsidRPr="002B48CC" w:rsidP="005F72BE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2969FF">
        <w:rPr>
          <w:b/>
          <w:iCs/>
          <w:sz w:val="24"/>
          <w:szCs w:val="24"/>
        </w:rPr>
        <w:t>ões, 24</w:t>
      </w:r>
      <w:bookmarkStart w:id="0" w:name="_GoBack"/>
      <w:bookmarkEnd w:id="0"/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abril de 2026</w:t>
      </w:r>
      <w:r w:rsidRPr="002B48CC">
        <w:rPr>
          <w:b/>
          <w:iCs/>
          <w:sz w:val="24"/>
          <w:szCs w:val="24"/>
        </w:rPr>
        <w:t>.</w:t>
      </w:r>
    </w:p>
    <w:p w:rsidR="005F72BE" w:rsidRPr="002B48CC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5F72BE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5F72BE" w:rsidRPr="002B48CC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5F72BE" w:rsidRPr="002B48CC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5F72BE" w:rsidRPr="002B48CC" w:rsidP="005F72B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5F72BE" w:rsidRPr="002B48CC" w:rsidP="005F72BE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5F72BE" w:rsidRPr="002B48CC" w:rsidP="005F72B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5F72BE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F72BE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F72BE" w:rsidRPr="002B48CC" w:rsidP="005F72B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5F72BE" w:rsidP="005F72B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604556"/>
    <w:sectPr w:rsidSect="005F72BE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71E09"/>
    <w:multiLevelType w:val="hybridMultilevel"/>
    <w:tmpl w:val="045A4F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03F5"/>
    <w:multiLevelType w:val="hybridMultilevel"/>
    <w:tmpl w:val="F2FA13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47441"/>
    <w:multiLevelType w:val="hybridMultilevel"/>
    <w:tmpl w:val="4EEC06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5FE4"/>
    <w:multiLevelType w:val="hybridMultilevel"/>
    <w:tmpl w:val="ECE00E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06FAF"/>
    <w:multiLevelType w:val="hybridMultilevel"/>
    <w:tmpl w:val="A45043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E4B04"/>
    <w:multiLevelType w:val="hybridMultilevel"/>
    <w:tmpl w:val="5D9EC8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92BAA"/>
    <w:multiLevelType w:val="hybridMultilevel"/>
    <w:tmpl w:val="AFC6D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E614B"/>
    <w:multiLevelType w:val="hybridMultilevel"/>
    <w:tmpl w:val="99F869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91330"/>
    <w:multiLevelType w:val="hybridMultilevel"/>
    <w:tmpl w:val="8762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539A"/>
    <w:multiLevelType w:val="hybridMultilevel"/>
    <w:tmpl w:val="F3D4C6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D3F13"/>
    <w:multiLevelType w:val="hybridMultilevel"/>
    <w:tmpl w:val="16CE1D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637A5"/>
    <w:multiLevelType w:val="hybridMultilevel"/>
    <w:tmpl w:val="F906E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614C6"/>
    <w:multiLevelType w:val="hybridMultilevel"/>
    <w:tmpl w:val="646047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807F4"/>
    <w:multiLevelType w:val="hybridMultilevel"/>
    <w:tmpl w:val="82685E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A6876"/>
    <w:multiLevelType w:val="hybridMultilevel"/>
    <w:tmpl w:val="99942E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B089E"/>
    <w:multiLevelType w:val="hybridMultilevel"/>
    <w:tmpl w:val="AB8C92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540F6"/>
    <w:multiLevelType w:val="hybridMultilevel"/>
    <w:tmpl w:val="B62A11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82598"/>
    <w:multiLevelType w:val="hybridMultilevel"/>
    <w:tmpl w:val="EF02E0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E5135"/>
    <w:multiLevelType w:val="hybridMultilevel"/>
    <w:tmpl w:val="248EE3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F1F81"/>
    <w:multiLevelType w:val="hybridMultilevel"/>
    <w:tmpl w:val="BAF852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D3263"/>
    <w:multiLevelType w:val="hybridMultilevel"/>
    <w:tmpl w:val="61D827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17"/>
  </w:num>
  <w:num w:numId="11">
    <w:abstractNumId w:val="14"/>
  </w:num>
  <w:num w:numId="12">
    <w:abstractNumId w:val="20"/>
  </w:num>
  <w:num w:numId="13">
    <w:abstractNumId w:val="15"/>
  </w:num>
  <w:num w:numId="14">
    <w:abstractNumId w:val="6"/>
  </w:num>
  <w:num w:numId="15">
    <w:abstractNumId w:val="19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BE"/>
    <w:rsid w:val="0003179B"/>
    <w:rsid w:val="00036DD8"/>
    <w:rsid w:val="00102582"/>
    <w:rsid w:val="0019538E"/>
    <w:rsid w:val="002717DE"/>
    <w:rsid w:val="002969FF"/>
    <w:rsid w:val="002B48CC"/>
    <w:rsid w:val="003E7A8B"/>
    <w:rsid w:val="005D2C7A"/>
    <w:rsid w:val="005F72BE"/>
    <w:rsid w:val="00604556"/>
    <w:rsid w:val="006B0634"/>
    <w:rsid w:val="007A1ED4"/>
    <w:rsid w:val="008E28F9"/>
    <w:rsid w:val="00A2038D"/>
    <w:rsid w:val="00A835B9"/>
    <w:rsid w:val="00CA76AE"/>
    <w:rsid w:val="00CF5DAA"/>
    <w:rsid w:val="00D63C54"/>
    <w:rsid w:val="00D74E59"/>
    <w:rsid w:val="00DC1D64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5D46DD-395A-4E81-A027-7C2DCB0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BE"/>
  </w:style>
  <w:style w:type="paragraph" w:styleId="Heading3">
    <w:name w:val="heading 3"/>
    <w:basedOn w:val="Normal"/>
    <w:link w:val="Ttulo3Char"/>
    <w:uiPriority w:val="9"/>
    <w:qFormat/>
    <w:rsid w:val="005F7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5F72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F7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F72BE"/>
  </w:style>
  <w:style w:type="paragraph" w:styleId="Footer">
    <w:name w:val="footer"/>
    <w:basedOn w:val="Normal"/>
    <w:link w:val="RodapChar"/>
    <w:uiPriority w:val="99"/>
    <w:unhideWhenUsed/>
    <w:rsid w:val="005F7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F72BE"/>
  </w:style>
  <w:style w:type="paragraph" w:styleId="NoSpacing">
    <w:name w:val="No Spacing"/>
    <w:uiPriority w:val="1"/>
    <w:qFormat/>
    <w:rsid w:val="005F72B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F72BE"/>
    <w:rPr>
      <w:b/>
      <w:bCs/>
    </w:rPr>
  </w:style>
  <w:style w:type="paragraph" w:customStyle="1" w:styleId="Standard">
    <w:name w:val="Standard"/>
    <w:rsid w:val="005F72B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5F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1372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2026-04-22T18:52:00Z</dcterms:created>
  <dcterms:modified xsi:type="dcterms:W3CDTF">2026-04-24T12:14:00Z</dcterms:modified>
</cp:coreProperties>
</file>