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7D5A" w:rsidP="009A1FFA">
      <w:pPr>
        <w:spacing w:line="360" w:lineRule="auto"/>
        <w:ind w:left="100" w:leftChars="50"/>
        <w:rPr>
          <w:b/>
          <w:bCs/>
          <w:iCs/>
          <w:color w:val="000000"/>
          <w:sz w:val="24"/>
          <w:szCs w:val="24"/>
          <w:shd w:val="clear" w:color="auto" w:fill="FFFFFF"/>
        </w:rPr>
      </w:pPr>
    </w:p>
    <w:p w:rsidR="008615FD" w:rsidRPr="009A1FFA" w:rsidP="00272CD9">
      <w:pPr>
        <w:spacing w:line="360" w:lineRule="auto"/>
        <w:rPr>
          <w:sz w:val="24"/>
          <w:szCs w:val="24"/>
        </w:rPr>
      </w:pPr>
      <w:r w:rsidRPr="009A1FFA">
        <w:rPr>
          <w:b/>
          <w:bCs/>
          <w:iCs/>
          <w:color w:val="000000"/>
          <w:sz w:val="24"/>
          <w:szCs w:val="24"/>
          <w:shd w:val="clear" w:color="auto" w:fill="FFFFFF"/>
        </w:rPr>
        <w:t>Projeto de Lei</w:t>
      </w:r>
      <w:r w:rsidRPr="009A1FFA" w:rsidR="00614281">
        <w:rPr>
          <w:b/>
          <w:bCs/>
          <w:iCs/>
          <w:color w:val="000000"/>
          <w:sz w:val="24"/>
          <w:szCs w:val="24"/>
          <w:shd w:val="clear" w:color="auto" w:fill="FFFFFF"/>
        </w:rPr>
        <w:t xml:space="preserve"> nº </w:t>
      </w:r>
      <w:r w:rsidR="00D271FE">
        <w:rPr>
          <w:b/>
          <w:bCs/>
          <w:iCs/>
          <w:color w:val="000000"/>
          <w:sz w:val="24"/>
          <w:szCs w:val="24"/>
          <w:shd w:val="clear" w:color="auto" w:fill="FFFFFF"/>
        </w:rPr>
        <w:t>1</w:t>
      </w:r>
      <w:r w:rsidR="00921F73">
        <w:rPr>
          <w:b/>
          <w:bCs/>
          <w:iCs/>
          <w:color w:val="000000"/>
          <w:sz w:val="24"/>
          <w:szCs w:val="24"/>
          <w:shd w:val="clear" w:color="auto" w:fill="FFFFFF"/>
        </w:rPr>
        <w:t>8</w:t>
      </w:r>
      <w:r w:rsidRPr="009A1FFA" w:rsidR="00614281">
        <w:rPr>
          <w:b/>
          <w:bCs/>
          <w:iCs/>
          <w:color w:val="000000"/>
          <w:sz w:val="24"/>
          <w:szCs w:val="24"/>
          <w:shd w:val="clear" w:color="auto" w:fill="FFFFFF"/>
        </w:rPr>
        <w:t>/202</w:t>
      </w:r>
      <w:r w:rsidR="00D271FE">
        <w:rPr>
          <w:b/>
          <w:bCs/>
          <w:iCs/>
          <w:color w:val="000000"/>
          <w:sz w:val="24"/>
          <w:szCs w:val="24"/>
          <w:shd w:val="clear" w:color="auto" w:fill="FFFFFF"/>
        </w:rPr>
        <w:t>6</w:t>
      </w:r>
    </w:p>
    <w:p w:rsidR="008615FD" w:rsidP="00272CD9">
      <w:pPr>
        <w:pStyle w:val="BodyText"/>
        <w:spacing w:after="0" w:line="360" w:lineRule="auto"/>
        <w:contextualSpacing/>
        <w:rPr>
          <w:b/>
          <w:color w:val="000000"/>
          <w:sz w:val="24"/>
          <w:szCs w:val="24"/>
        </w:rPr>
      </w:pPr>
      <w:r w:rsidRPr="009A1FFA">
        <w:rPr>
          <w:b/>
          <w:color w:val="000000"/>
          <w:sz w:val="24"/>
          <w:szCs w:val="24"/>
        </w:rPr>
        <w:t xml:space="preserve">Processo nº </w:t>
      </w:r>
      <w:r w:rsidR="00921F73">
        <w:rPr>
          <w:b/>
          <w:color w:val="000000"/>
          <w:sz w:val="24"/>
          <w:szCs w:val="24"/>
        </w:rPr>
        <w:t>25</w:t>
      </w:r>
      <w:r w:rsidRPr="009A1FFA">
        <w:rPr>
          <w:b/>
          <w:color w:val="000000"/>
          <w:sz w:val="24"/>
          <w:szCs w:val="24"/>
        </w:rPr>
        <w:t>/202</w:t>
      </w:r>
      <w:r w:rsidR="00921F73">
        <w:rPr>
          <w:b/>
          <w:color w:val="000000"/>
          <w:sz w:val="24"/>
          <w:szCs w:val="24"/>
        </w:rPr>
        <w:t>6</w:t>
      </w:r>
    </w:p>
    <w:p w:rsidR="000304E0" w:rsidP="009A1FFA">
      <w:pPr>
        <w:pStyle w:val="BodyText"/>
        <w:spacing w:after="0" w:line="360" w:lineRule="auto"/>
        <w:ind w:left="100" w:leftChars="50"/>
        <w:contextualSpacing/>
        <w:rPr>
          <w:b/>
          <w:color w:val="000000"/>
          <w:sz w:val="24"/>
          <w:szCs w:val="24"/>
        </w:rPr>
      </w:pPr>
    </w:p>
    <w:p w:rsidR="00A8476E" w:rsidP="00921F73">
      <w:pPr>
        <w:pStyle w:val="BodyText"/>
        <w:spacing w:before="240" w:after="0" w:line="360" w:lineRule="auto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PARECER </w:t>
      </w:r>
      <w:r w:rsidRPr="009A1FFA" w:rsidR="00444781">
        <w:rPr>
          <w:b/>
          <w:bCs/>
          <w:sz w:val="24"/>
          <w:szCs w:val="24"/>
        </w:rPr>
        <w:t>DA COMISS</w:t>
      </w:r>
      <w:r w:rsidR="00D06BC4">
        <w:rPr>
          <w:b/>
          <w:bCs/>
          <w:sz w:val="24"/>
          <w:szCs w:val="24"/>
        </w:rPr>
        <w:t xml:space="preserve">ÃO </w:t>
      </w:r>
      <w:r w:rsidR="00272CD9">
        <w:rPr>
          <w:b/>
          <w:bCs/>
          <w:sz w:val="24"/>
          <w:szCs w:val="24"/>
        </w:rPr>
        <w:t xml:space="preserve">DE </w:t>
      </w:r>
      <w:r w:rsidRPr="009A1FFA" w:rsidR="00444781">
        <w:rPr>
          <w:b/>
          <w:bCs/>
          <w:sz w:val="24"/>
          <w:szCs w:val="24"/>
        </w:rPr>
        <w:t>FINANÇAS E ORÇAMENTO</w:t>
      </w:r>
      <w:r w:rsidR="00272CD9">
        <w:rPr>
          <w:b/>
          <w:bCs/>
          <w:sz w:val="24"/>
          <w:szCs w:val="24"/>
        </w:rPr>
        <w:t>.</w:t>
      </w:r>
    </w:p>
    <w:p w:rsidR="000304E0" w:rsidP="00921F73">
      <w:pPr>
        <w:pStyle w:val="BodyText"/>
        <w:spacing w:before="240" w:after="0" w:line="360" w:lineRule="auto"/>
        <w:jc w:val="left"/>
        <w:rPr>
          <w:i/>
          <w:sz w:val="24"/>
          <w:szCs w:val="24"/>
        </w:rPr>
      </w:pPr>
      <w:r w:rsidRPr="00850C12">
        <w:rPr>
          <w:i/>
          <w:sz w:val="24"/>
          <w:szCs w:val="24"/>
        </w:rPr>
        <w:t>“</w:t>
      </w:r>
      <w:r w:rsidR="00D271FE">
        <w:rPr>
          <w:i/>
          <w:sz w:val="24"/>
          <w:szCs w:val="24"/>
        </w:rPr>
        <w:t xml:space="preserve">Institui o </w:t>
      </w:r>
      <w:r w:rsidR="00921F73">
        <w:rPr>
          <w:i/>
          <w:sz w:val="24"/>
          <w:szCs w:val="24"/>
        </w:rPr>
        <w:t xml:space="preserve">Programa de Descentralização da Vacinação Antirrábica no </w:t>
      </w:r>
      <w:r w:rsidR="00D271FE">
        <w:rPr>
          <w:i/>
          <w:sz w:val="24"/>
          <w:szCs w:val="24"/>
        </w:rPr>
        <w:t>município de Mogi Mirim,</w:t>
      </w:r>
      <w:r w:rsidR="00807843">
        <w:rPr>
          <w:i/>
          <w:sz w:val="24"/>
          <w:szCs w:val="24"/>
        </w:rPr>
        <w:t xml:space="preserve"> </w:t>
      </w:r>
      <w:r w:rsidRPr="00850C12">
        <w:rPr>
          <w:i/>
          <w:sz w:val="24"/>
          <w:szCs w:val="24"/>
        </w:rPr>
        <w:t>e dá outras providências”</w:t>
      </w:r>
    </w:p>
    <w:p w:rsidR="00A8476E" w:rsidRPr="00921F73" w:rsidP="00921F73">
      <w:pPr>
        <w:pStyle w:val="BodyText"/>
        <w:spacing w:before="240" w:after="0" w:line="360" w:lineRule="auto"/>
        <w:jc w:val="left"/>
        <w:rPr>
          <w:b/>
          <w:bCs/>
          <w:sz w:val="24"/>
          <w:szCs w:val="24"/>
        </w:rPr>
      </w:pPr>
    </w:p>
    <w:p w:rsidR="00444781" w:rsidP="00272CD9">
      <w:pPr>
        <w:spacing w:before="100" w:beforeAutospacing="1" w:after="100" w:afterAutospacing="1" w:line="276" w:lineRule="auto"/>
        <w:rPr>
          <w:b/>
          <w:bCs/>
          <w:sz w:val="24"/>
          <w:szCs w:val="24"/>
        </w:rPr>
      </w:pPr>
      <w:r w:rsidRPr="009A1FFA">
        <w:rPr>
          <w:b/>
          <w:bCs/>
          <w:sz w:val="24"/>
          <w:szCs w:val="24"/>
        </w:rPr>
        <w:t>I – EXPOSIÇÃO DA MATÉRIA EM EXAME</w:t>
      </w:r>
      <w:r w:rsidR="00807843">
        <w:rPr>
          <w:b/>
          <w:bCs/>
          <w:sz w:val="24"/>
          <w:szCs w:val="24"/>
        </w:rPr>
        <w:t xml:space="preserve"> – RELATÓRIO</w:t>
      </w:r>
    </w:p>
    <w:p w:rsidR="00C14DB5" w:rsidP="00456B3B">
      <w:pPr>
        <w:pStyle w:val="FirstParagraph"/>
        <w:spacing w:line="276" w:lineRule="auto"/>
        <w:jc w:val="both"/>
      </w:pPr>
      <w:r>
        <w:rPr>
          <w:rFonts w:ascii="Times New Roman" w:hAnsi="Times New Roman" w:cs="Times New Roman"/>
        </w:rPr>
        <w:t xml:space="preserve">     </w:t>
      </w:r>
      <w:r w:rsidRPr="00721C3A" w:rsidR="00876CD4">
        <w:rPr>
          <w:rFonts w:ascii="Times New Roman" w:hAnsi="Times New Roman" w:cs="Times New Roman"/>
        </w:rPr>
        <w:t>Conforme determ</w:t>
      </w:r>
      <w:r>
        <w:rPr>
          <w:rFonts w:ascii="Times New Roman" w:hAnsi="Times New Roman" w:cs="Times New Roman"/>
        </w:rPr>
        <w:t>in</w:t>
      </w:r>
      <w:r w:rsidRPr="00721C3A" w:rsidR="00876CD4">
        <w:rPr>
          <w:rFonts w:ascii="Times New Roman" w:hAnsi="Times New Roman" w:cs="Times New Roman"/>
        </w:rPr>
        <w:t>a o artigo 37 da Resolução nº 276, de 9 de novembro de 2010</w:t>
      </w:r>
      <w:r w:rsidR="00272CD9">
        <w:rPr>
          <w:rFonts w:ascii="Times New Roman" w:hAnsi="Times New Roman" w:cs="Times New Roman"/>
        </w:rPr>
        <w:t xml:space="preserve"> -</w:t>
      </w:r>
      <w:r w:rsidRPr="00721C3A" w:rsidR="00876CD4">
        <w:rPr>
          <w:rFonts w:ascii="Times New Roman" w:hAnsi="Times New Roman" w:cs="Times New Roman"/>
        </w:rPr>
        <w:t xml:space="preserve"> Regimento Interno </w:t>
      </w:r>
      <w:r w:rsidRPr="00876CD4" w:rsidR="00876CD4">
        <w:rPr>
          <w:rFonts w:ascii="Times New Roman" w:hAnsi="Times New Roman" w:cs="Times New Roman"/>
        </w:rPr>
        <w:t xml:space="preserve">da Câmara Municipal de Mogi Mirim, </w:t>
      </w:r>
      <w:r>
        <w:rPr>
          <w:rFonts w:ascii="Times New Roman" w:hAnsi="Times New Roman" w:cs="Times New Roman"/>
        </w:rPr>
        <w:t xml:space="preserve">submete-se à apreciação </w:t>
      </w:r>
      <w:r w:rsidRPr="00876CD4" w:rsidR="00876C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desta Comissão Permanente de </w:t>
      </w:r>
      <w:r w:rsidRPr="00876CD4" w:rsidR="00876CD4">
        <w:rPr>
          <w:rFonts w:ascii="Times New Roman" w:hAnsi="Times New Roman" w:cs="Times New Roman"/>
        </w:rPr>
        <w:t>Finanças e Orçamento</w:t>
      </w:r>
      <w:r>
        <w:rPr>
          <w:rFonts w:ascii="Times New Roman" w:hAnsi="Times New Roman" w:cs="Times New Roman"/>
        </w:rPr>
        <w:t>,</w:t>
      </w:r>
      <w:r w:rsidRPr="00876CD4" w:rsidR="00876CD4">
        <w:rPr>
          <w:rFonts w:ascii="Times New Roman" w:hAnsi="Times New Roman" w:cs="Times New Roman"/>
        </w:rPr>
        <w:t xml:space="preserve"> </w:t>
      </w:r>
      <w:r w:rsidRPr="001650F1">
        <w:rPr>
          <w:rFonts w:ascii="Times New Roman" w:hAnsi="Times New Roman" w:cs="Times New Roman"/>
        </w:rPr>
        <w:t>especialmente quanto às atribuições regimentais atinentes ao exame de matéria financeira, orçamentária, tributária, econômica e patrimonial, o Projeto de Lei nº 18/2026, de autoria da Vereadora Daniella Gonçalves de Amoêdo Campos.</w:t>
      </w:r>
    </w:p>
    <w:p w:rsidR="00456B3B" w:rsidRPr="001650F1" w:rsidP="00456B3B">
      <w:pPr>
        <w:pStyle w:val="NormalWeb"/>
        <w:spacing w:line="276" w:lineRule="auto"/>
      </w:pPr>
      <w:r>
        <w:t xml:space="preserve">     </w:t>
      </w:r>
      <w:r w:rsidRPr="001650F1">
        <w:t>A propositura visa instituir o Programa de Descentralização da Vacinação Antirrábica no Município de Mogi Mirim, objetivando ampliar a cobertura vacinal de cães e gatos mediante disponibilização do serviço em Unidades Básicas de Saúde – UBS, de forma itinerante ou permanente, com possibilidade de agendamento prévio e ações de divulgação.</w:t>
      </w:r>
    </w:p>
    <w:p w:rsidR="00456B3B" w:rsidRPr="001650F1" w:rsidP="00456B3B">
      <w:pPr>
        <w:pStyle w:val="NormalWeb"/>
        <w:spacing w:line="276" w:lineRule="auto"/>
      </w:pPr>
      <w:r>
        <w:t xml:space="preserve">     </w:t>
      </w:r>
      <w:r w:rsidRPr="001650F1">
        <w:t>Consta dos autos que a matéria já foi submetida à análise:</w:t>
      </w:r>
    </w:p>
    <w:p w:rsidR="00456B3B" w:rsidRPr="001650F1" w:rsidP="00456B3B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F62A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- </w:t>
      </w:r>
      <w:r w:rsidRPr="001650F1">
        <w:rPr>
          <w:sz w:val="24"/>
          <w:szCs w:val="24"/>
        </w:rPr>
        <w:t xml:space="preserve">da Comissão de Justiça e Redação, que exarou parecer favorável com emenda supressiva ao artigo 4º; </w:t>
      </w:r>
    </w:p>
    <w:p w:rsidR="00456B3B" w:rsidRPr="001650F1" w:rsidP="00456B3B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F62A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- </w:t>
      </w:r>
      <w:r w:rsidRPr="001650F1">
        <w:rPr>
          <w:sz w:val="24"/>
          <w:szCs w:val="24"/>
        </w:rPr>
        <w:t xml:space="preserve">das Comissões de Defesa e Direito dos Animais e de Educação, Saúde, Cultura, Esporte e Assistência Social, igualmente favoráveis; </w:t>
      </w:r>
    </w:p>
    <w:p w:rsidR="00456B3B" w:rsidRPr="001650F1" w:rsidP="00456B3B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F62A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- </w:t>
      </w:r>
      <w:r w:rsidRPr="001650F1">
        <w:rPr>
          <w:sz w:val="24"/>
          <w:szCs w:val="24"/>
        </w:rPr>
        <w:t xml:space="preserve">bem como da </w:t>
      </w:r>
      <w:r w:rsidRPr="00456B3B">
        <w:rPr>
          <w:rStyle w:val="Strong"/>
          <w:b w:val="0"/>
          <w:sz w:val="24"/>
          <w:szCs w:val="24"/>
        </w:rPr>
        <w:t>Nota Técnica nº 002/2026</w:t>
      </w:r>
      <w:r w:rsidRPr="00456B3B">
        <w:rPr>
          <w:b/>
          <w:sz w:val="24"/>
          <w:szCs w:val="24"/>
        </w:rPr>
        <w:t>,</w:t>
      </w:r>
      <w:r w:rsidRPr="001650F1">
        <w:rPr>
          <w:sz w:val="24"/>
          <w:szCs w:val="24"/>
        </w:rPr>
        <w:t xml:space="preserve"> emitida pelo Procurador Jurídico da Câmara Municipal de Mogi Mirim, cujos fundamentos jurídicos acerca da constitucionalidade e regularidade formal da iniciativa passam a integrar subsidiariamente a presente análise.</w:t>
      </w:r>
    </w:p>
    <w:p w:rsidR="00A8476E" w:rsidP="00A8476E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1650F1" w:rsidR="00456B3B">
        <w:rPr>
          <w:sz w:val="24"/>
          <w:szCs w:val="24"/>
        </w:rPr>
        <w:t>Nos termos regimentais, compete a esta Comissão examinar a matéria sob a ótica estritamente financeira, orçamentária, patrimonial e quanto à sua compatibilidade com as normas de responsabilidade fiscal.</w:t>
      </w:r>
    </w:p>
    <w:p w:rsidR="00A3016D" w:rsidP="00A8476E">
      <w:pPr>
        <w:spacing w:before="100" w:beforeAutospacing="1" w:after="100" w:afterAutospacing="1" w:line="276" w:lineRule="auto"/>
        <w:rPr>
          <w:b/>
          <w:bCs/>
          <w:sz w:val="24"/>
          <w:szCs w:val="24"/>
        </w:rPr>
      </w:pPr>
      <w:r w:rsidRPr="000226D6">
        <w:rPr>
          <w:b/>
          <w:bCs/>
          <w:sz w:val="24"/>
          <w:szCs w:val="24"/>
        </w:rPr>
        <w:t>II</w:t>
      </w:r>
      <w:r>
        <w:rPr>
          <w:b/>
          <w:bCs/>
          <w:sz w:val="24"/>
          <w:szCs w:val="24"/>
        </w:rPr>
        <w:t>. FUNDAMENTAÇÃO TÉCNICO-JURÍDICA</w:t>
      </w:r>
    </w:p>
    <w:p w:rsidR="00A8476E" w:rsidP="00A8476E">
      <w:pPr>
        <w:pStyle w:val="BodyText"/>
        <w:numPr>
          <w:ilvl w:val="0"/>
          <w:numId w:val="15"/>
        </w:numPr>
      </w:pPr>
      <w:r w:rsidRPr="000226D6">
        <w:rPr>
          <w:b/>
          <w:bCs/>
          <w:sz w:val="24"/>
          <w:szCs w:val="24"/>
        </w:rPr>
        <w:t>Da Competência da Comissão de Finanças e Orçamento</w:t>
      </w:r>
      <w:r w:rsidR="00ED3C7E">
        <w:t xml:space="preserve">    </w:t>
      </w:r>
    </w:p>
    <w:p w:rsidR="00A463FD" w:rsidP="00A8476E">
      <w:pPr>
        <w:pStyle w:val="BodyText"/>
        <w:ind w:left="720"/>
      </w:pPr>
      <w:r>
        <w:t xml:space="preserve"> </w:t>
      </w:r>
    </w:p>
    <w:p w:rsidR="00456B3B" w:rsidRPr="001650F1" w:rsidP="00456B3B">
      <w:pPr>
        <w:pStyle w:val="NormalWeb"/>
        <w:spacing w:line="276" w:lineRule="auto"/>
      </w:pPr>
      <w:r>
        <w:t xml:space="preserve">     </w:t>
      </w:r>
      <w:bookmarkStart w:id="0" w:name="X0517faddd3711f6563b64d812373984afa50537"/>
      <w:r w:rsidRPr="001650F1">
        <w:t xml:space="preserve">Nos termos da </w:t>
      </w:r>
      <w:r w:rsidRPr="00E35A3F">
        <w:rPr>
          <w:rStyle w:val="Strong"/>
          <w:b w:val="0"/>
        </w:rPr>
        <w:t>Resolução nº 276, de 09 de novembro de 2010 (Regimento Interno da Câmara Municipal de Mogi Mirim)</w:t>
      </w:r>
      <w:r w:rsidRPr="00E35A3F">
        <w:rPr>
          <w:b/>
        </w:rPr>
        <w:t>,</w:t>
      </w:r>
      <w:r w:rsidRPr="001650F1">
        <w:t xml:space="preserve"> compete à Comissão de Finanças e Orçamento manifestar-se sobre:</w:t>
      </w:r>
    </w:p>
    <w:p w:rsidR="00456B3B" w:rsidRPr="000D260A" w:rsidP="00456B3B">
      <w:pPr>
        <w:spacing w:beforeAutospacing="1" w:after="100" w:afterAutospacing="1" w:line="276" w:lineRule="auto"/>
        <w:rPr>
          <w:i/>
          <w:sz w:val="24"/>
          <w:szCs w:val="24"/>
        </w:rPr>
      </w:pPr>
      <w:r w:rsidRPr="00E35A3F">
        <w:rPr>
          <w:bCs/>
          <w:i/>
          <w:sz w:val="24"/>
          <w:szCs w:val="24"/>
        </w:rPr>
        <w:t xml:space="preserve">“todas as proposições que importem em matéria financeira, tributária, orçamentária, abertura de créditos, despesas públicas, receitas, patrimônio e fiscalização contábil da Administração Pública </w:t>
      </w:r>
      <w:r w:rsidRPr="00E35A3F" w:rsidR="00A7033D">
        <w:rPr>
          <w:bCs/>
          <w:i/>
          <w:sz w:val="24"/>
          <w:szCs w:val="24"/>
        </w:rPr>
        <w:t>Municipal. ”</w:t>
      </w:r>
    </w:p>
    <w:p w:rsidR="00456B3B" w:rsidRPr="000D260A" w:rsidP="00456B3B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D260A">
        <w:rPr>
          <w:sz w:val="24"/>
          <w:szCs w:val="24"/>
        </w:rPr>
        <w:t>Ainda, compete analisar:</w:t>
      </w:r>
    </w:p>
    <w:p w:rsidR="00456B3B" w:rsidRPr="000D260A" w:rsidP="00456B3B">
      <w:pPr>
        <w:spacing w:beforeAutospacing="1" w:after="100" w:afterAutospacing="1" w:line="276" w:lineRule="auto"/>
        <w:rPr>
          <w:i/>
          <w:sz w:val="24"/>
          <w:szCs w:val="24"/>
        </w:rPr>
      </w:pPr>
      <w:r w:rsidRPr="00E35A3F">
        <w:rPr>
          <w:bCs/>
          <w:i/>
          <w:sz w:val="24"/>
          <w:szCs w:val="24"/>
        </w:rPr>
        <w:t xml:space="preserve">“compatibilidade orçamentária e financeira das proposições legislativas, observando-se a legislação fiscal </w:t>
      </w:r>
      <w:r w:rsidRPr="00E35A3F" w:rsidR="00A7033D">
        <w:rPr>
          <w:bCs/>
          <w:i/>
          <w:sz w:val="24"/>
          <w:szCs w:val="24"/>
        </w:rPr>
        <w:t>vigente. ”</w:t>
      </w:r>
    </w:p>
    <w:p w:rsidR="00456B3B" w:rsidRPr="000D260A" w:rsidP="00456B3B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1650F1">
        <w:rPr>
          <w:sz w:val="24"/>
          <w:szCs w:val="24"/>
        </w:rPr>
        <w:t xml:space="preserve">Destarte, ainda: </w:t>
      </w:r>
      <w:r w:rsidRPr="000D260A">
        <w:rPr>
          <w:sz w:val="24"/>
          <w:szCs w:val="24"/>
        </w:rPr>
        <w:t>compete à Comissão Permanente de Finanças e Orçamento pronunciar-se quanto:</w:t>
      </w:r>
    </w:p>
    <w:p w:rsidR="00456B3B" w:rsidRPr="000D260A" w:rsidP="00456B3B">
      <w:pPr>
        <w:spacing w:beforeAutospacing="1" w:after="100" w:afterAutospacing="1" w:line="276" w:lineRule="auto"/>
        <w:rPr>
          <w:i/>
          <w:sz w:val="24"/>
          <w:szCs w:val="24"/>
        </w:rPr>
      </w:pPr>
      <w:r w:rsidRPr="000D260A">
        <w:rPr>
          <w:i/>
          <w:sz w:val="24"/>
          <w:szCs w:val="24"/>
        </w:rPr>
        <w:t>“à adequação orçamentária e financeira das proposições, sua compatibilidade com o plano plurianual, lei de diretrizes orçamentárias, orçamento anual, repercussão financeira e observância das normas de responsabilidade fiscal.”</w:t>
      </w:r>
    </w:p>
    <w:p w:rsidR="00456B3B" w:rsidRPr="000D260A" w:rsidP="00456B3B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D260A">
        <w:rPr>
          <w:sz w:val="24"/>
          <w:szCs w:val="24"/>
        </w:rPr>
        <w:t>Tal atribuição decorre igualmente do sistema constitucional de controle preventivo interno do processo legislativo, em consonância com os princípios da legalidade, eficiência administrativa e equilíbrio fiscal.</w:t>
      </w:r>
    </w:p>
    <w:p w:rsidR="00456B3B" w:rsidP="00456B3B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D260A">
        <w:rPr>
          <w:sz w:val="24"/>
          <w:szCs w:val="24"/>
        </w:rPr>
        <w:t>A análise desta Comissão restringe-se aos reflexos orçamentários da proposição, não adentrando no mérito material já apreciado pelas demais comissões técnicas.</w:t>
      </w:r>
    </w:p>
    <w:p w:rsidR="00A8476E" w:rsidRPr="001650F1" w:rsidP="00456B3B">
      <w:pPr>
        <w:spacing w:before="100" w:beforeAutospacing="1" w:after="100" w:afterAutospacing="1" w:line="276" w:lineRule="auto"/>
        <w:rPr>
          <w:sz w:val="24"/>
          <w:szCs w:val="24"/>
        </w:rPr>
      </w:pPr>
    </w:p>
    <w:bookmarkEnd w:id="0"/>
    <w:p w:rsidR="00456B3B" w:rsidP="00456B3B">
      <w:pPr>
        <w:spacing w:before="100" w:beforeAutospacing="1" w:after="100" w:afterAutospacing="1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 – ANÁLISE FINANCEUIRA E ORÇAMENTÁRIA</w:t>
      </w:r>
    </w:p>
    <w:p w:rsidR="00456B3B" w:rsidRPr="000D260A" w:rsidP="00456B3B">
      <w:pPr>
        <w:spacing w:before="100" w:beforeAutospacing="1" w:after="100" w:afterAutospacing="1" w:line="276" w:lineRule="auto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Pr="000D260A">
        <w:rPr>
          <w:b/>
          <w:bCs/>
          <w:sz w:val="24"/>
          <w:szCs w:val="24"/>
        </w:rPr>
        <w:t>1. Da inexistência de criação direta de despesa obrigatória nova</w:t>
      </w:r>
    </w:p>
    <w:p w:rsidR="00456B3B" w:rsidRPr="000D260A" w:rsidP="00456B3B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D260A">
        <w:rPr>
          <w:sz w:val="24"/>
          <w:szCs w:val="24"/>
        </w:rPr>
        <w:t xml:space="preserve">O Projeto de Lei nº 18/2026, após a Emenda Supressiva nº 01/2026, suprimiu integralmente o artigo 4º originalmente constante da proposição, afastando dispositivo que poderia ser interpretado como ingerência operacional direta na logística administrativa municipal, conforme apontado no parecer da Comissão de Justiça e Redação constante dos </w:t>
      </w:r>
      <w:r w:rsidRPr="000D260A" w:rsidR="00A8476E">
        <w:rPr>
          <w:sz w:val="24"/>
          <w:szCs w:val="24"/>
        </w:rPr>
        <w:t>autos.</w:t>
      </w:r>
    </w:p>
    <w:p w:rsidR="00456B3B" w:rsidRPr="000D260A" w:rsidP="00456B3B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D260A">
        <w:rPr>
          <w:sz w:val="24"/>
          <w:szCs w:val="24"/>
        </w:rPr>
        <w:t>A redação remanescente possui natureza predominantemente programática e autorizativa, limitando-se a instituir diretriz pública de descentralização de serviço já existente.</w:t>
      </w:r>
    </w:p>
    <w:p w:rsidR="00456B3B" w:rsidRPr="000D260A" w:rsidP="00456B3B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0D260A">
        <w:rPr>
          <w:sz w:val="24"/>
          <w:szCs w:val="24"/>
        </w:rPr>
        <w:t>Não há:</w:t>
      </w:r>
    </w:p>
    <w:p w:rsidR="00456B3B" w:rsidRPr="000D260A" w:rsidP="00456B3B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F62A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- </w:t>
      </w:r>
      <w:r w:rsidRPr="000D260A">
        <w:rPr>
          <w:sz w:val="24"/>
          <w:szCs w:val="24"/>
        </w:rPr>
        <w:t xml:space="preserve">criação de cargos públicos; </w:t>
      </w:r>
    </w:p>
    <w:p w:rsidR="00456B3B" w:rsidRPr="000D260A" w:rsidP="00456B3B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F62A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- </w:t>
      </w:r>
      <w:r w:rsidRPr="000D260A">
        <w:rPr>
          <w:sz w:val="24"/>
          <w:szCs w:val="24"/>
        </w:rPr>
        <w:t xml:space="preserve">alteração de estrutura administrativa; </w:t>
      </w:r>
    </w:p>
    <w:p w:rsidR="00456B3B" w:rsidRPr="000D260A" w:rsidP="00456B3B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F62A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- </w:t>
      </w:r>
      <w:r w:rsidRPr="000D260A">
        <w:rPr>
          <w:sz w:val="24"/>
          <w:szCs w:val="24"/>
        </w:rPr>
        <w:t xml:space="preserve">instituição de novas unidades; </w:t>
      </w:r>
    </w:p>
    <w:p w:rsidR="00456B3B" w:rsidRPr="000D260A" w:rsidP="00456B3B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F62A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- </w:t>
      </w:r>
      <w:r w:rsidRPr="000D260A">
        <w:rPr>
          <w:sz w:val="24"/>
          <w:szCs w:val="24"/>
        </w:rPr>
        <w:t xml:space="preserve">contratação obrigatória de pessoal; </w:t>
      </w:r>
    </w:p>
    <w:p w:rsidR="00456B3B" w:rsidRPr="000D260A" w:rsidP="00456B3B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F62A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- </w:t>
      </w:r>
      <w:r w:rsidRPr="000D260A">
        <w:rPr>
          <w:sz w:val="24"/>
          <w:szCs w:val="24"/>
        </w:rPr>
        <w:t xml:space="preserve">fixação de quantitativos, cronogramas ou metas financeiras vinculantes. </w:t>
      </w:r>
    </w:p>
    <w:p w:rsidR="00456B3B" w:rsidRPr="000D260A" w:rsidP="00456B3B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D260A">
        <w:rPr>
          <w:sz w:val="24"/>
          <w:szCs w:val="24"/>
        </w:rPr>
        <w:t>Dessa forma, não se vislumbra criação automática de despesa pública obrigatória de caráter continuado.</w:t>
      </w:r>
    </w:p>
    <w:p w:rsidR="00456B3B" w:rsidRPr="000D260A" w:rsidP="00456B3B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D260A">
        <w:rPr>
          <w:sz w:val="24"/>
          <w:szCs w:val="24"/>
        </w:rPr>
        <w:t xml:space="preserve">Nesse contexto, aplica-se o entendimento consolidado pelo Supremo Tribunal Federal no julgamento do </w:t>
      </w:r>
      <w:r w:rsidRPr="00456B3B">
        <w:rPr>
          <w:bCs/>
          <w:sz w:val="24"/>
          <w:szCs w:val="24"/>
        </w:rPr>
        <w:t>Tema 917 da Repercussão Geral (RE 878.911/RJ):</w:t>
      </w:r>
    </w:p>
    <w:p w:rsidR="00456B3B" w:rsidRPr="000D260A" w:rsidP="00456B3B">
      <w:pPr>
        <w:spacing w:beforeAutospacing="1" w:after="100" w:afterAutospacing="1" w:line="276" w:lineRule="auto"/>
        <w:rPr>
          <w:i/>
          <w:sz w:val="24"/>
          <w:szCs w:val="24"/>
        </w:rPr>
      </w:pPr>
      <w:r w:rsidRPr="000D260A">
        <w:rPr>
          <w:i/>
          <w:sz w:val="24"/>
          <w:szCs w:val="24"/>
        </w:rPr>
        <w:t xml:space="preserve">“Não usurpa competência privativa do Chefe do Poder Executivo lei que, embora crie despesa para a Administração, não trata da sua estrutura ou da atribuição de seus órgãos nem do regime jurídico de servidores </w:t>
      </w:r>
      <w:r w:rsidRPr="00456B3B">
        <w:rPr>
          <w:i/>
          <w:sz w:val="24"/>
          <w:szCs w:val="24"/>
        </w:rPr>
        <w:t>públicos. ”</w:t>
      </w:r>
    </w:p>
    <w:p w:rsidR="00456B3B" w:rsidP="00456B3B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D260A">
        <w:rPr>
          <w:sz w:val="24"/>
          <w:szCs w:val="24"/>
        </w:rPr>
        <w:t>A proposição não implica inovação estrutural apta a caracterizar vício financeiro de origem.</w:t>
      </w:r>
    </w:p>
    <w:p w:rsidR="00444D5E" w:rsidRPr="00444D5E" w:rsidP="00444D5E">
      <w:pPr>
        <w:pStyle w:val="Heading3"/>
        <w:spacing w:line="276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    </w:t>
      </w:r>
      <w:r w:rsidRPr="00444D5E">
        <w:rPr>
          <w:rFonts w:ascii="Times New Roman" w:hAnsi="Times New Roman" w:cs="Times New Roman"/>
          <w:b/>
          <w:color w:val="auto"/>
        </w:rPr>
        <w:t>2. Compatibilidade com a Lei de Responsabilidade Fiscal</w:t>
      </w:r>
    </w:p>
    <w:p w:rsidR="00444D5E" w:rsidRPr="001650F1" w:rsidP="00444D5E">
      <w:pPr>
        <w:pStyle w:val="NormalWeb"/>
        <w:spacing w:line="276" w:lineRule="auto"/>
      </w:pPr>
      <w:r>
        <w:t xml:space="preserve">     </w:t>
      </w:r>
      <w:r w:rsidRPr="001650F1">
        <w:t xml:space="preserve">Aplica-se a </w:t>
      </w:r>
      <w:r w:rsidRPr="00E35A3F">
        <w:rPr>
          <w:rStyle w:val="Strong"/>
          <w:b w:val="0"/>
        </w:rPr>
        <w:t>Lei Complementar Federal nº 101/2000 (Lei de Responsabilidade Fiscal)</w:t>
      </w:r>
      <w:r w:rsidRPr="00E35A3F">
        <w:rPr>
          <w:b/>
        </w:rPr>
        <w:t>.</w:t>
      </w:r>
    </w:p>
    <w:p w:rsidR="00444D5E" w:rsidRPr="001650F1" w:rsidP="00444D5E">
      <w:pPr>
        <w:pStyle w:val="NormalWeb"/>
        <w:spacing w:line="276" w:lineRule="auto"/>
      </w:pPr>
      <w:r>
        <w:t xml:space="preserve">     </w:t>
      </w:r>
      <w:r w:rsidRPr="001650F1">
        <w:t>Dispõe o artigo 16:</w:t>
      </w:r>
    </w:p>
    <w:p w:rsidR="00444D5E" w:rsidRPr="00E35A3F" w:rsidP="00444D5E">
      <w:pPr>
        <w:pStyle w:val="NormalWeb"/>
        <w:spacing w:line="276" w:lineRule="auto"/>
        <w:rPr>
          <w:b/>
          <w:i/>
        </w:rPr>
      </w:pPr>
      <w:r>
        <w:rPr>
          <w:rStyle w:val="Strong"/>
          <w:b w:val="0"/>
          <w:i/>
        </w:rPr>
        <w:t>“</w:t>
      </w:r>
      <w:r w:rsidRPr="00E35A3F">
        <w:rPr>
          <w:rStyle w:val="Strong"/>
          <w:b w:val="0"/>
          <w:i/>
        </w:rPr>
        <w:t>Art. 16. A criação, expansão ou aperfeiçoamento de ação governamental que acarrete aumento da despesa será acompanhado de:</w:t>
      </w:r>
    </w:p>
    <w:p w:rsidR="00444D5E" w:rsidRPr="00E35A3F" w:rsidP="00444D5E">
      <w:pPr>
        <w:pStyle w:val="NormalWeb"/>
        <w:spacing w:line="276" w:lineRule="auto"/>
        <w:rPr>
          <w:b/>
          <w:i/>
        </w:rPr>
      </w:pPr>
      <w:r>
        <w:rPr>
          <w:rStyle w:val="Strong"/>
          <w:b w:val="0"/>
          <w:i/>
        </w:rPr>
        <w:t xml:space="preserve">       </w:t>
      </w:r>
      <w:r w:rsidRPr="00E35A3F">
        <w:rPr>
          <w:rStyle w:val="Strong"/>
          <w:b w:val="0"/>
          <w:i/>
        </w:rPr>
        <w:t>I – estimativa do impacto orçamentário-financeiro no exercício em que deva entrar em vigor e nos dois subsequentes;</w:t>
      </w:r>
    </w:p>
    <w:p w:rsidR="00444D5E" w:rsidRPr="00E35A3F" w:rsidP="00444D5E">
      <w:pPr>
        <w:pStyle w:val="NormalWeb"/>
        <w:spacing w:line="276" w:lineRule="auto"/>
        <w:rPr>
          <w:b/>
          <w:i/>
        </w:rPr>
      </w:pPr>
      <w:r>
        <w:rPr>
          <w:rStyle w:val="Strong"/>
          <w:b w:val="0"/>
          <w:i/>
        </w:rPr>
        <w:t xml:space="preserve">       </w:t>
      </w:r>
      <w:r w:rsidRPr="00E35A3F">
        <w:rPr>
          <w:rStyle w:val="Strong"/>
          <w:b w:val="0"/>
          <w:i/>
        </w:rPr>
        <w:t xml:space="preserve">II – declaração do ordenador da despesa de que o aumento tem adequação orçamentária e financeira com a lei orçamentária anual e compatibilidade com o plano plurianual e com a lei de diretrizes </w:t>
      </w:r>
      <w:r w:rsidRPr="00E35A3F" w:rsidR="00A7033D">
        <w:rPr>
          <w:rStyle w:val="Strong"/>
          <w:b w:val="0"/>
          <w:i/>
        </w:rPr>
        <w:t>orçamentárias.</w:t>
      </w:r>
      <w:r w:rsidR="00A7033D">
        <w:rPr>
          <w:rStyle w:val="Strong"/>
          <w:b w:val="0"/>
          <w:i/>
        </w:rPr>
        <w:t xml:space="preserve"> ”</w:t>
      </w:r>
    </w:p>
    <w:p w:rsidR="00444D5E" w:rsidRPr="000D260A" w:rsidP="00444D5E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D260A">
        <w:rPr>
          <w:sz w:val="24"/>
          <w:szCs w:val="24"/>
        </w:rPr>
        <w:t>No presente caso, não se verifica criação autônoma de nova política pública com repercussão financeira imediata e compulsória.</w:t>
      </w:r>
    </w:p>
    <w:p w:rsidR="00444D5E" w:rsidRPr="000D260A" w:rsidP="00444D5E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D260A">
        <w:rPr>
          <w:sz w:val="24"/>
          <w:szCs w:val="24"/>
        </w:rPr>
        <w:t>O projeto autoriza reorganização operacional de atividade já executada pela Vigilância em Saúde, utilizando estrutura física existente das Unidades Básicas de Saúde, circunstância já ressaltada na justificativa da autora e corroborada pela tramitação processual anexada</w:t>
      </w:r>
    </w:p>
    <w:p w:rsidR="00444D5E" w:rsidRPr="000D260A" w:rsidP="00444D5E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D260A">
        <w:rPr>
          <w:sz w:val="24"/>
          <w:szCs w:val="24"/>
        </w:rPr>
        <w:t>Ademais, o artigo 5º da propositura dispõe expressamente:</w:t>
      </w:r>
    </w:p>
    <w:p w:rsidR="00444D5E" w:rsidRPr="000D260A" w:rsidP="00444D5E">
      <w:pPr>
        <w:spacing w:beforeAutospacing="1" w:after="100" w:afterAutospacing="1" w:line="276" w:lineRule="auto"/>
        <w:rPr>
          <w:i/>
          <w:sz w:val="24"/>
          <w:szCs w:val="24"/>
        </w:rPr>
      </w:pPr>
      <w:r w:rsidRPr="003D4DC7">
        <w:rPr>
          <w:bCs/>
          <w:i/>
          <w:sz w:val="24"/>
          <w:szCs w:val="24"/>
        </w:rPr>
        <w:t>“As despesas decorrentes da execução desta Lei correrão por conta de dotações orçamentárias próprias, suplementadas se necessário. ”</w:t>
      </w:r>
      <w:r w:rsidRPr="000D260A">
        <w:rPr>
          <w:i/>
          <w:sz w:val="24"/>
          <w:szCs w:val="24"/>
        </w:rPr>
        <w:t xml:space="preserve"> </w:t>
      </w:r>
    </w:p>
    <w:p w:rsidR="00444D5E" w:rsidP="00444D5E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D260A">
        <w:rPr>
          <w:sz w:val="24"/>
          <w:szCs w:val="24"/>
        </w:rPr>
        <w:t xml:space="preserve">Tal previsão atende formalmente à exigência de indicação de fonte orçamentária genérica, </w:t>
      </w:r>
      <w:r w:rsidRPr="001650F1">
        <w:rPr>
          <w:sz w:val="24"/>
          <w:szCs w:val="24"/>
        </w:rPr>
        <w:t xml:space="preserve">na observância ao princípio do equilíbrio orçamentário, </w:t>
      </w:r>
      <w:r w:rsidRPr="000D260A">
        <w:rPr>
          <w:sz w:val="24"/>
          <w:szCs w:val="24"/>
        </w:rPr>
        <w:t>prática consolidada na jurisprudência.</w:t>
      </w:r>
    </w:p>
    <w:p w:rsidR="00444D5E" w:rsidRPr="00EF62AD" w:rsidP="00EF62AD">
      <w:pPr>
        <w:pStyle w:val="ListParagraph"/>
        <w:numPr>
          <w:ilvl w:val="0"/>
          <w:numId w:val="16"/>
        </w:numPr>
        <w:spacing w:before="100" w:beforeAutospacing="1" w:after="100" w:afterAutospacing="1" w:line="276" w:lineRule="auto"/>
        <w:outlineLvl w:val="2"/>
        <w:rPr>
          <w:b/>
          <w:bCs/>
          <w:sz w:val="24"/>
          <w:szCs w:val="24"/>
        </w:rPr>
      </w:pPr>
      <w:r w:rsidRPr="00EF62AD">
        <w:rPr>
          <w:b/>
          <w:bCs/>
          <w:sz w:val="24"/>
          <w:szCs w:val="24"/>
        </w:rPr>
        <w:t>Da compatibilidade com o planejamento orçamentário municipal</w:t>
      </w:r>
    </w:p>
    <w:p w:rsidR="00444D5E" w:rsidRPr="00DC3D2F" w:rsidP="00444D5E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C3D2F">
        <w:rPr>
          <w:sz w:val="24"/>
          <w:szCs w:val="24"/>
        </w:rPr>
        <w:t>A descentralização de ações de vacinação antirrábica guarda pertinência material com as funções governamentais já contempladas nas ações de:</w:t>
      </w:r>
    </w:p>
    <w:p w:rsidR="00444D5E" w:rsidRPr="001650F1" w:rsidP="00444D5E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F62A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- </w:t>
      </w:r>
      <w:r w:rsidRPr="00DC3D2F">
        <w:rPr>
          <w:sz w:val="24"/>
          <w:szCs w:val="24"/>
        </w:rPr>
        <w:t xml:space="preserve">Vigilância em Saúde; </w:t>
      </w:r>
    </w:p>
    <w:p w:rsidR="00444D5E" w:rsidRPr="00DC3D2F" w:rsidP="00444D5E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F62A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- </w:t>
      </w:r>
      <w:r w:rsidRPr="001650F1">
        <w:rPr>
          <w:sz w:val="24"/>
          <w:szCs w:val="24"/>
        </w:rPr>
        <w:t>Vigilância epidemiológica;</w:t>
      </w:r>
    </w:p>
    <w:p w:rsidR="00444D5E" w:rsidRPr="00DC3D2F" w:rsidP="00444D5E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F62A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- </w:t>
      </w:r>
      <w:r w:rsidRPr="00DC3D2F">
        <w:rPr>
          <w:sz w:val="24"/>
          <w:szCs w:val="24"/>
        </w:rPr>
        <w:t xml:space="preserve">Controle de zoonoses; </w:t>
      </w:r>
    </w:p>
    <w:p w:rsidR="00444D5E" w:rsidRPr="00DC3D2F" w:rsidP="00444D5E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F62A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- </w:t>
      </w:r>
      <w:r w:rsidRPr="00DC3D2F">
        <w:rPr>
          <w:sz w:val="24"/>
          <w:szCs w:val="24"/>
        </w:rPr>
        <w:t>Atenção básica</w:t>
      </w:r>
      <w:r w:rsidRPr="001650F1">
        <w:rPr>
          <w:sz w:val="24"/>
          <w:szCs w:val="24"/>
        </w:rPr>
        <w:t xml:space="preserve"> em saúde pública</w:t>
      </w:r>
      <w:r w:rsidRPr="00DC3D2F">
        <w:rPr>
          <w:sz w:val="24"/>
          <w:szCs w:val="24"/>
        </w:rPr>
        <w:t xml:space="preserve">; </w:t>
      </w:r>
    </w:p>
    <w:p w:rsidR="00444D5E" w:rsidRPr="00DC3D2F" w:rsidP="00444D5E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F62A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- </w:t>
      </w:r>
      <w:r w:rsidRPr="00DC3D2F">
        <w:rPr>
          <w:sz w:val="24"/>
          <w:szCs w:val="24"/>
        </w:rPr>
        <w:t xml:space="preserve">Saúde preventiva. </w:t>
      </w:r>
    </w:p>
    <w:p w:rsidR="00444D5E" w:rsidRPr="00DC3D2F" w:rsidP="00444D5E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C3D2F">
        <w:rPr>
          <w:sz w:val="24"/>
          <w:szCs w:val="24"/>
        </w:rPr>
        <w:t>Trata-se de medida passível de execução mediante realocação administrativa, dentro das dotações ordinárias da Secretaria Municipal de Saúde.</w:t>
      </w:r>
    </w:p>
    <w:p w:rsidR="00444D5E" w:rsidRPr="00DC3D2F" w:rsidP="00444D5E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C3D2F">
        <w:rPr>
          <w:sz w:val="24"/>
          <w:szCs w:val="24"/>
        </w:rPr>
        <w:t>Não há incompatibilidade abstrata com:</w:t>
      </w:r>
    </w:p>
    <w:p w:rsidR="00EF62AD" w:rsidP="00EF62AD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- </w:t>
      </w:r>
      <w:r w:rsidRPr="00DC3D2F" w:rsidR="00444D5E">
        <w:rPr>
          <w:sz w:val="24"/>
          <w:szCs w:val="24"/>
        </w:rPr>
        <w:t xml:space="preserve">Plano Plurianual; </w:t>
      </w:r>
    </w:p>
    <w:p w:rsidR="00444D5E" w:rsidRPr="00DC3D2F" w:rsidP="00EF62AD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- </w:t>
      </w:r>
      <w:r w:rsidRPr="00DC3D2F">
        <w:rPr>
          <w:sz w:val="24"/>
          <w:szCs w:val="24"/>
        </w:rPr>
        <w:t xml:space="preserve">Lei de Diretrizes Orçamentárias; </w:t>
      </w:r>
    </w:p>
    <w:p w:rsidR="00444D5E" w:rsidRPr="001650F1" w:rsidP="00EF62AD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- </w:t>
      </w:r>
      <w:r w:rsidRPr="00DC3D2F">
        <w:rPr>
          <w:sz w:val="24"/>
          <w:szCs w:val="24"/>
        </w:rPr>
        <w:t xml:space="preserve">Lei Orçamentária Anual. </w:t>
      </w:r>
    </w:p>
    <w:p w:rsidR="00444D5E" w:rsidRPr="00DC3D2F" w:rsidP="00444D5E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1650F1">
        <w:rPr>
          <w:sz w:val="24"/>
          <w:szCs w:val="24"/>
        </w:rPr>
        <w:t>Não se identifica incompatibilidade material com instrumentos de planejamento fiscal.</w:t>
      </w:r>
    </w:p>
    <w:p w:rsidR="00444D5E" w:rsidRPr="001650F1" w:rsidP="00444D5E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C3D2F">
        <w:rPr>
          <w:sz w:val="24"/>
          <w:szCs w:val="24"/>
        </w:rPr>
        <w:t>Eventual suplementação, caso necessária, deverá observar o devido processo legal orçamentário.</w:t>
      </w:r>
    </w:p>
    <w:p w:rsidR="00444D5E" w:rsidRPr="00DC3D2F" w:rsidP="00444D5E">
      <w:pPr>
        <w:spacing w:before="100" w:beforeAutospacing="1" w:after="100" w:afterAutospacing="1" w:line="276" w:lineRule="auto"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Pr="00DC3D2F">
        <w:rPr>
          <w:b/>
          <w:bCs/>
          <w:sz w:val="24"/>
          <w:szCs w:val="24"/>
        </w:rPr>
        <w:t>4. Da economicidade e eficiência administrativa</w:t>
      </w:r>
    </w:p>
    <w:p w:rsidR="00444D5E" w:rsidRPr="00DC3D2F" w:rsidP="00444D5E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C3D2F">
        <w:rPr>
          <w:sz w:val="24"/>
          <w:szCs w:val="24"/>
        </w:rPr>
        <w:t xml:space="preserve">O princípio da eficiência administrativa, insculpido no </w:t>
      </w:r>
      <w:r w:rsidRPr="003D4DC7">
        <w:rPr>
          <w:bCs/>
          <w:sz w:val="24"/>
          <w:szCs w:val="24"/>
        </w:rPr>
        <w:t>art. 37, caput, da Constituição Federal</w:t>
      </w:r>
      <w:r w:rsidRPr="00DC3D2F">
        <w:rPr>
          <w:sz w:val="24"/>
          <w:szCs w:val="24"/>
        </w:rPr>
        <w:t>, recomenda a utilização racional da infraestrutura pública existente.</w:t>
      </w:r>
    </w:p>
    <w:p w:rsidR="00444D5E" w:rsidRPr="00DC3D2F" w:rsidP="00444D5E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C3D2F">
        <w:rPr>
          <w:sz w:val="24"/>
          <w:szCs w:val="24"/>
        </w:rPr>
        <w:t>A descentralização proposta apresenta potencial de:</w:t>
      </w:r>
    </w:p>
    <w:p w:rsidR="00444D5E" w:rsidRPr="00DC3D2F" w:rsidP="00444D5E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F62A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- </w:t>
      </w:r>
      <w:r w:rsidRPr="00DC3D2F">
        <w:rPr>
          <w:sz w:val="24"/>
          <w:szCs w:val="24"/>
        </w:rPr>
        <w:t xml:space="preserve">redução de deslocamentos dos usuários; </w:t>
      </w:r>
    </w:p>
    <w:p w:rsidR="00444D5E" w:rsidRPr="00DC3D2F" w:rsidP="00444D5E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F62A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- </w:t>
      </w:r>
      <w:r w:rsidRPr="00DC3D2F">
        <w:rPr>
          <w:sz w:val="24"/>
          <w:szCs w:val="24"/>
        </w:rPr>
        <w:t xml:space="preserve">otimização logística das campanhas; </w:t>
      </w:r>
    </w:p>
    <w:p w:rsidR="00444D5E" w:rsidRPr="00DC3D2F" w:rsidP="00444D5E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F62A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- </w:t>
      </w:r>
      <w:r w:rsidRPr="00DC3D2F">
        <w:rPr>
          <w:sz w:val="24"/>
          <w:szCs w:val="24"/>
        </w:rPr>
        <w:t xml:space="preserve">ampliação da cobertura vacinal; </w:t>
      </w:r>
    </w:p>
    <w:p w:rsidR="00444D5E" w:rsidRPr="00DC3D2F" w:rsidP="00444D5E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F62A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- </w:t>
      </w:r>
      <w:r w:rsidRPr="00DC3D2F">
        <w:rPr>
          <w:sz w:val="24"/>
          <w:szCs w:val="24"/>
        </w:rPr>
        <w:t>redução de custos indiretos decorrentes de baixa adesão vacinal e eventual aumento de risco epidemiológico.</w:t>
      </w:r>
    </w:p>
    <w:p w:rsidR="00444D5E" w:rsidRPr="001650F1" w:rsidP="00444D5E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1650F1">
        <w:rPr>
          <w:sz w:val="24"/>
          <w:szCs w:val="24"/>
        </w:rPr>
        <w:t>Sob a ótica financeira, a medida revela-se potencialmente economicamente vantajosa.</w:t>
      </w:r>
    </w:p>
    <w:p w:rsidR="00444D5E" w:rsidRPr="00444D5E" w:rsidP="00444D5E">
      <w:pPr>
        <w:pStyle w:val="Heading2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I</w:t>
      </w:r>
      <w:r w:rsidRPr="00444D5E">
        <w:rPr>
          <w:rFonts w:ascii="Times New Roman" w:hAnsi="Times New Roman" w:cs="Times New Roman"/>
          <w:color w:val="auto"/>
          <w:sz w:val="24"/>
          <w:szCs w:val="24"/>
        </w:rPr>
        <w:t>V – DA CONSIDERAÇÃO SOBRE A NOTA TÉCNICA Nº 002/2026</w:t>
      </w:r>
    </w:p>
    <w:p w:rsidR="00444D5E" w:rsidRPr="001650F1" w:rsidP="00444D5E">
      <w:pPr>
        <w:pStyle w:val="NormalWeb"/>
        <w:spacing w:line="276" w:lineRule="auto"/>
      </w:pPr>
      <w:r>
        <w:t xml:space="preserve">     </w:t>
      </w:r>
      <w:r w:rsidRPr="001650F1">
        <w:t>A Nota Técnica nº 002/2026 da Procuradoria Jurídica desta Casa, constante dos autos, já reconheceu a juridicidade da proposição, especialmente após a supressão do antigo artigo 4º por meio da emenda aprovada pela Comissão de Justiça e Redação.</w:t>
      </w:r>
    </w:p>
    <w:p w:rsidR="00444D5E" w:rsidRPr="001650F1" w:rsidP="00444D5E">
      <w:pPr>
        <w:pStyle w:val="NormalWeb"/>
        <w:spacing w:line="276" w:lineRule="auto"/>
      </w:pPr>
      <w:r>
        <w:t xml:space="preserve">     </w:t>
      </w:r>
      <w:r w:rsidRPr="001650F1">
        <w:t>Tal ajuste eliminou dispositivo que poderia ensejar interpretação de ingerência administrativa específica.</w:t>
      </w:r>
    </w:p>
    <w:p w:rsidR="00E03041" w:rsidP="00444D5E">
      <w:pPr>
        <w:pStyle w:val="NormalWeb"/>
        <w:spacing w:line="276" w:lineRule="auto"/>
      </w:pPr>
      <w:r>
        <w:t xml:space="preserve">     </w:t>
      </w:r>
      <w:r w:rsidRPr="001650F1" w:rsidR="00444D5E">
        <w:t>Remanesce, portanto, texto normativo de natureza programática e diretriz legislativa compatível com a autonomia administrativa do Executivo.</w:t>
      </w:r>
    </w:p>
    <w:p w:rsidR="00444D5E" w:rsidRPr="00DC3D2F" w:rsidP="00444D5E">
      <w:pPr>
        <w:spacing w:before="100" w:beforeAutospacing="1" w:after="100" w:afterAutospacing="1" w:line="276" w:lineRule="auto"/>
        <w:outlineLvl w:val="1"/>
        <w:rPr>
          <w:b/>
          <w:bCs/>
          <w:sz w:val="24"/>
          <w:szCs w:val="24"/>
        </w:rPr>
      </w:pPr>
      <w:r w:rsidRPr="00DC3D2F">
        <w:rPr>
          <w:b/>
          <w:bCs/>
          <w:sz w:val="24"/>
          <w:szCs w:val="24"/>
        </w:rPr>
        <w:t>V – CONCLUSÃO DO RELATOR</w:t>
      </w:r>
    </w:p>
    <w:p w:rsidR="00444D5E" w:rsidRPr="00DC3D2F" w:rsidP="00444D5E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C3D2F">
        <w:rPr>
          <w:sz w:val="24"/>
          <w:szCs w:val="24"/>
        </w:rPr>
        <w:t>Após análise estritamente financeira e orçamentária, conclui-se que o Projeto de Lei nº 18/2026:</w:t>
      </w:r>
    </w:p>
    <w:p w:rsidR="00444D5E" w:rsidRPr="00DC3D2F" w:rsidP="00444D5E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A5ABE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- </w:t>
      </w:r>
      <w:r w:rsidRPr="00DC3D2F">
        <w:rPr>
          <w:sz w:val="24"/>
          <w:szCs w:val="24"/>
        </w:rPr>
        <w:t xml:space="preserve">apresenta adequação formal sob a ótica orçamentária; </w:t>
      </w:r>
    </w:p>
    <w:p w:rsidR="00444D5E" w:rsidRPr="00DC3D2F" w:rsidP="00444D5E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-  </w:t>
      </w:r>
      <w:r w:rsidRPr="00DC3D2F">
        <w:rPr>
          <w:sz w:val="24"/>
          <w:szCs w:val="24"/>
        </w:rPr>
        <w:t xml:space="preserve">não cria despesa obrigatória nova de execução imediata; </w:t>
      </w:r>
    </w:p>
    <w:p w:rsidR="00444D5E" w:rsidRPr="00DC3D2F" w:rsidP="00444D5E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- </w:t>
      </w:r>
      <w:r w:rsidRPr="001650F1">
        <w:rPr>
          <w:sz w:val="24"/>
          <w:szCs w:val="24"/>
        </w:rPr>
        <w:t xml:space="preserve">observa os princípios da economicidade e </w:t>
      </w:r>
      <w:r w:rsidRPr="00DC3D2F">
        <w:rPr>
          <w:sz w:val="24"/>
          <w:szCs w:val="24"/>
        </w:rPr>
        <w:t xml:space="preserve">não afronta a Lei de Responsabilidade Fiscal; </w:t>
      </w:r>
    </w:p>
    <w:p w:rsidR="00444D5E" w:rsidRPr="00DC3D2F" w:rsidP="00444D5E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- </w:t>
      </w:r>
      <w:r w:rsidRPr="00DC3D2F">
        <w:rPr>
          <w:sz w:val="24"/>
          <w:szCs w:val="24"/>
        </w:rPr>
        <w:t xml:space="preserve">possui compatibilidade material com ações ordinárias de saúde pública e vigilância sanitária; </w:t>
      </w:r>
    </w:p>
    <w:p w:rsidR="00444D5E" w:rsidRPr="00444D5E" w:rsidP="00444D5E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- </w:t>
      </w:r>
      <w:r w:rsidRPr="00444D5E">
        <w:rPr>
          <w:sz w:val="24"/>
          <w:szCs w:val="24"/>
        </w:rPr>
        <w:t>apresenta adequação orçamentária abstrata;</w:t>
      </w:r>
    </w:p>
    <w:p w:rsidR="00444D5E" w:rsidRPr="001650F1" w:rsidP="00444D5E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- </w:t>
      </w:r>
      <w:r w:rsidRPr="00DC3D2F">
        <w:rPr>
          <w:sz w:val="24"/>
          <w:szCs w:val="24"/>
        </w:rPr>
        <w:t xml:space="preserve">observa regularidade financeira após a Emenda Supressiva nº 01/2026. </w:t>
      </w:r>
    </w:p>
    <w:p w:rsidR="00444D5E" w:rsidRPr="00DC3D2F" w:rsidP="00444D5E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C3D2F">
        <w:rPr>
          <w:sz w:val="24"/>
          <w:szCs w:val="24"/>
        </w:rPr>
        <w:t xml:space="preserve">Diante do exposto, </w:t>
      </w:r>
      <w:r w:rsidRPr="003D4DC7">
        <w:rPr>
          <w:bCs/>
          <w:sz w:val="24"/>
          <w:szCs w:val="24"/>
        </w:rPr>
        <w:t>opino FAVORAVELMENTE à tramitação e aprovação do Projeto de Lei nº 18/2026</w:t>
      </w:r>
      <w:r w:rsidRPr="00DC3D2F">
        <w:rPr>
          <w:sz w:val="24"/>
          <w:szCs w:val="24"/>
        </w:rPr>
        <w:t>, no âmbito da competência desta Comissão Permanente de Finanças e Orçamento.</w:t>
      </w:r>
    </w:p>
    <w:p w:rsidR="00444D5E" w:rsidP="00E03041">
      <w:pPr>
        <w:spacing w:line="276" w:lineRule="auto"/>
        <w:rPr>
          <w:sz w:val="24"/>
          <w:szCs w:val="24"/>
        </w:rPr>
      </w:pPr>
    </w:p>
    <w:p w:rsidR="00444D5E" w:rsidP="00E03041">
      <w:pPr>
        <w:spacing w:line="276" w:lineRule="auto"/>
        <w:rPr>
          <w:sz w:val="24"/>
          <w:szCs w:val="24"/>
        </w:rPr>
      </w:pPr>
    </w:p>
    <w:p w:rsidR="002563F2" w:rsidRPr="00721C3A" w:rsidP="00686F52">
      <w:pPr>
        <w:pStyle w:val="FirstParagraph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721C3A">
        <w:rPr>
          <w:rFonts w:ascii="Times New Roman" w:hAnsi="Times New Roman" w:cs="Times New Roman"/>
        </w:rPr>
        <w:t xml:space="preserve">Sala das Comissões “Vereador Santo Róttoli”, Mogi Mirim, </w:t>
      </w:r>
      <w:r w:rsidR="004C4032">
        <w:rPr>
          <w:rFonts w:ascii="Times New Roman" w:hAnsi="Times New Roman" w:cs="Times New Roman"/>
        </w:rPr>
        <w:t>0</w:t>
      </w:r>
      <w:r w:rsidR="00A7033D">
        <w:rPr>
          <w:rFonts w:ascii="Times New Roman" w:hAnsi="Times New Roman" w:cs="Times New Roman"/>
        </w:rPr>
        <w:t>7</w:t>
      </w:r>
      <w:r w:rsidR="00D07E1F">
        <w:rPr>
          <w:rFonts w:ascii="Times New Roman" w:hAnsi="Times New Roman" w:cs="Times New Roman"/>
        </w:rPr>
        <w:t xml:space="preserve"> </w:t>
      </w:r>
      <w:r w:rsidR="004C4032">
        <w:rPr>
          <w:rFonts w:ascii="Times New Roman" w:hAnsi="Times New Roman" w:cs="Times New Roman"/>
        </w:rPr>
        <w:t>de maio</w:t>
      </w:r>
      <w:r w:rsidRPr="00721C3A">
        <w:rPr>
          <w:rFonts w:ascii="Times New Roman" w:hAnsi="Times New Roman" w:cs="Times New Roman"/>
        </w:rPr>
        <w:t xml:space="preserve"> de 2026.</w:t>
      </w:r>
    </w:p>
    <w:p w:rsidR="00830A06" w:rsidP="002A3601">
      <w:pPr>
        <w:tabs>
          <w:tab w:val="left" w:pos="5700"/>
        </w:tabs>
        <w:jc w:val="center"/>
        <w:rPr>
          <w:i/>
          <w:szCs w:val="24"/>
        </w:rPr>
      </w:pPr>
    </w:p>
    <w:p w:rsidR="005A5ABE" w:rsidP="002A3601">
      <w:pPr>
        <w:tabs>
          <w:tab w:val="left" w:pos="5700"/>
        </w:tabs>
        <w:jc w:val="center"/>
        <w:rPr>
          <w:i/>
          <w:szCs w:val="24"/>
        </w:rPr>
      </w:pPr>
    </w:p>
    <w:p w:rsidR="004D155D" w:rsidP="002A3601">
      <w:pPr>
        <w:tabs>
          <w:tab w:val="left" w:pos="5700"/>
        </w:tabs>
        <w:jc w:val="center"/>
        <w:rPr>
          <w:i/>
          <w:szCs w:val="24"/>
        </w:rPr>
      </w:pPr>
    </w:p>
    <w:p w:rsidR="002563F2" w:rsidP="002A3601">
      <w:pPr>
        <w:tabs>
          <w:tab w:val="left" w:pos="5700"/>
        </w:tabs>
        <w:jc w:val="center"/>
        <w:rPr>
          <w:i/>
          <w:szCs w:val="24"/>
        </w:rPr>
      </w:pPr>
    </w:p>
    <w:p w:rsidR="00830A06" w:rsidRPr="00830A06" w:rsidP="002A3601">
      <w:pPr>
        <w:tabs>
          <w:tab w:val="left" w:pos="5700"/>
        </w:tabs>
        <w:jc w:val="center"/>
        <w:rPr>
          <w:i/>
          <w:szCs w:val="24"/>
        </w:rPr>
      </w:pPr>
      <w:r w:rsidRPr="00830A06">
        <w:rPr>
          <w:i/>
          <w:szCs w:val="24"/>
        </w:rPr>
        <w:t>(Documento assinado digitalmente)</w:t>
      </w:r>
    </w:p>
    <w:p w:rsidR="00A45E06" w:rsidRPr="002563F2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color w:val="000000"/>
          <w:sz w:val="24"/>
          <w:szCs w:val="24"/>
        </w:rPr>
      </w:pPr>
      <w:r w:rsidRPr="002563F2">
        <w:rPr>
          <w:color w:val="000000"/>
          <w:sz w:val="24"/>
          <w:szCs w:val="24"/>
        </w:rPr>
        <w:t>Vereador Sargento Coran</w:t>
      </w:r>
    </w:p>
    <w:p w:rsidR="00602B22" w:rsidP="00602B22">
      <w:pPr>
        <w:pStyle w:val="BodyText"/>
        <w:spacing w:before="238" w:after="0" w:line="360" w:lineRule="auto"/>
        <w:ind w:left="100" w:leftChars="50"/>
        <w:contextualSpacing/>
        <w:jc w:val="center"/>
        <w:rPr>
          <w:color w:val="000000"/>
          <w:sz w:val="24"/>
          <w:szCs w:val="24"/>
        </w:rPr>
      </w:pPr>
      <w:r w:rsidRPr="002563F2">
        <w:rPr>
          <w:color w:val="000000"/>
          <w:sz w:val="24"/>
          <w:szCs w:val="24"/>
        </w:rPr>
        <w:t xml:space="preserve">Relator do </w:t>
      </w:r>
      <w:r w:rsidRPr="002563F2" w:rsidR="005E5487">
        <w:rPr>
          <w:color w:val="000000"/>
          <w:sz w:val="24"/>
          <w:szCs w:val="24"/>
        </w:rPr>
        <w:t>Projeto de Lei</w:t>
      </w:r>
      <w:r w:rsidRPr="002563F2" w:rsidR="004555E9">
        <w:rPr>
          <w:color w:val="000000"/>
          <w:sz w:val="24"/>
          <w:szCs w:val="24"/>
        </w:rPr>
        <w:t xml:space="preserve"> </w:t>
      </w:r>
      <w:r w:rsidRPr="002563F2" w:rsidR="006177BD">
        <w:rPr>
          <w:color w:val="000000"/>
          <w:sz w:val="24"/>
          <w:szCs w:val="24"/>
        </w:rPr>
        <w:t xml:space="preserve">nº </w:t>
      </w:r>
      <w:r w:rsidRPr="002563F2" w:rsidR="002563F2">
        <w:rPr>
          <w:color w:val="000000"/>
          <w:sz w:val="24"/>
          <w:szCs w:val="24"/>
        </w:rPr>
        <w:t>1</w:t>
      </w:r>
      <w:r w:rsidR="004C4032">
        <w:rPr>
          <w:color w:val="000000"/>
          <w:sz w:val="24"/>
          <w:szCs w:val="24"/>
        </w:rPr>
        <w:t>8</w:t>
      </w:r>
      <w:r w:rsidRPr="002563F2" w:rsidR="006177BD">
        <w:rPr>
          <w:color w:val="000000"/>
          <w:sz w:val="24"/>
          <w:szCs w:val="24"/>
        </w:rPr>
        <w:t>/202</w:t>
      </w:r>
      <w:bookmarkStart w:id="1" w:name="referências-normativas"/>
      <w:r w:rsidR="00686F52">
        <w:rPr>
          <w:color w:val="000000"/>
          <w:sz w:val="24"/>
          <w:szCs w:val="24"/>
        </w:rPr>
        <w:t>6</w:t>
      </w:r>
    </w:p>
    <w:p w:rsidR="004C4032" w:rsidP="00602B22">
      <w:pPr>
        <w:pStyle w:val="BodyText"/>
        <w:spacing w:before="238" w:after="0" w:line="360" w:lineRule="auto"/>
        <w:ind w:left="100" w:leftChars="50"/>
        <w:contextualSpacing/>
        <w:jc w:val="center"/>
        <w:rPr>
          <w:color w:val="000000"/>
          <w:sz w:val="24"/>
          <w:szCs w:val="24"/>
        </w:rPr>
      </w:pPr>
    </w:p>
    <w:p w:rsidR="004C4032" w:rsidP="00602B22">
      <w:pPr>
        <w:pStyle w:val="BodyText"/>
        <w:spacing w:before="238" w:after="0" w:line="360" w:lineRule="auto"/>
        <w:ind w:left="100" w:leftChars="50"/>
        <w:contextualSpacing/>
        <w:jc w:val="center"/>
        <w:rPr>
          <w:color w:val="000000"/>
          <w:sz w:val="24"/>
          <w:szCs w:val="24"/>
        </w:rPr>
      </w:pPr>
    </w:p>
    <w:p w:rsidR="005A5ABE" w:rsidP="00602B22">
      <w:pPr>
        <w:pStyle w:val="BodyText"/>
        <w:spacing w:before="238" w:after="0" w:line="360" w:lineRule="auto"/>
        <w:ind w:left="100" w:leftChars="50"/>
        <w:contextualSpacing/>
        <w:jc w:val="center"/>
        <w:rPr>
          <w:color w:val="000000"/>
          <w:sz w:val="24"/>
          <w:szCs w:val="24"/>
        </w:rPr>
      </w:pPr>
    </w:p>
    <w:p w:rsidR="005A5ABE" w:rsidP="00602B22">
      <w:pPr>
        <w:pStyle w:val="BodyText"/>
        <w:spacing w:before="238" w:after="0" w:line="360" w:lineRule="auto"/>
        <w:ind w:left="100" w:leftChars="50"/>
        <w:contextualSpacing/>
        <w:jc w:val="center"/>
        <w:rPr>
          <w:color w:val="000000"/>
          <w:sz w:val="24"/>
          <w:szCs w:val="24"/>
        </w:rPr>
      </w:pPr>
    </w:p>
    <w:p w:rsidR="005A5ABE" w:rsidP="00602B22">
      <w:pPr>
        <w:pStyle w:val="BodyText"/>
        <w:spacing w:before="238" w:after="0" w:line="360" w:lineRule="auto"/>
        <w:ind w:left="100" w:leftChars="50"/>
        <w:contextualSpacing/>
        <w:jc w:val="center"/>
        <w:rPr>
          <w:color w:val="000000"/>
          <w:sz w:val="24"/>
          <w:szCs w:val="24"/>
        </w:rPr>
      </w:pPr>
    </w:p>
    <w:p w:rsidR="005A5ABE" w:rsidP="00602B22">
      <w:pPr>
        <w:pStyle w:val="BodyText"/>
        <w:spacing w:before="238" w:after="0" w:line="360" w:lineRule="auto"/>
        <w:ind w:left="100" w:leftChars="50"/>
        <w:contextualSpacing/>
        <w:jc w:val="center"/>
        <w:rPr>
          <w:color w:val="000000"/>
          <w:sz w:val="24"/>
          <w:szCs w:val="24"/>
        </w:rPr>
      </w:pPr>
    </w:p>
    <w:p w:rsidR="005A5ABE" w:rsidP="00602B22">
      <w:pPr>
        <w:pStyle w:val="BodyText"/>
        <w:spacing w:before="238" w:after="0" w:line="360" w:lineRule="auto"/>
        <w:ind w:left="100" w:leftChars="50"/>
        <w:contextualSpacing/>
        <w:jc w:val="center"/>
        <w:rPr>
          <w:color w:val="000000"/>
          <w:sz w:val="24"/>
          <w:szCs w:val="24"/>
        </w:rPr>
      </w:pPr>
    </w:p>
    <w:p w:rsidR="005A5ABE" w:rsidP="00602B22">
      <w:pPr>
        <w:pStyle w:val="BodyText"/>
        <w:spacing w:before="238" w:after="0" w:line="360" w:lineRule="auto"/>
        <w:ind w:left="100" w:leftChars="50"/>
        <w:contextualSpacing/>
        <w:jc w:val="center"/>
        <w:rPr>
          <w:color w:val="000000"/>
          <w:sz w:val="24"/>
          <w:szCs w:val="24"/>
        </w:rPr>
      </w:pPr>
    </w:p>
    <w:p w:rsidR="005A5ABE" w:rsidP="00602B22">
      <w:pPr>
        <w:pStyle w:val="BodyText"/>
        <w:spacing w:before="238" w:after="0" w:line="360" w:lineRule="auto"/>
        <w:ind w:left="100" w:leftChars="50"/>
        <w:contextualSpacing/>
        <w:jc w:val="center"/>
        <w:rPr>
          <w:color w:val="000000"/>
          <w:sz w:val="24"/>
          <w:szCs w:val="24"/>
        </w:rPr>
      </w:pPr>
    </w:p>
    <w:p w:rsidR="005A5ABE" w:rsidP="00602B22">
      <w:pPr>
        <w:pStyle w:val="BodyText"/>
        <w:spacing w:before="238" w:after="0" w:line="360" w:lineRule="auto"/>
        <w:ind w:left="100" w:leftChars="50"/>
        <w:contextualSpacing/>
        <w:jc w:val="center"/>
        <w:rPr>
          <w:color w:val="000000"/>
          <w:sz w:val="24"/>
          <w:szCs w:val="24"/>
        </w:rPr>
      </w:pPr>
    </w:p>
    <w:p w:rsidR="005A5ABE" w:rsidP="00602B22">
      <w:pPr>
        <w:pStyle w:val="BodyText"/>
        <w:spacing w:before="238" w:after="0" w:line="360" w:lineRule="auto"/>
        <w:ind w:left="100" w:leftChars="50"/>
        <w:contextualSpacing/>
        <w:jc w:val="center"/>
        <w:rPr>
          <w:color w:val="000000"/>
          <w:sz w:val="24"/>
          <w:szCs w:val="24"/>
        </w:rPr>
      </w:pPr>
    </w:p>
    <w:p w:rsidR="005A5ABE" w:rsidP="00602B22">
      <w:pPr>
        <w:pStyle w:val="BodyText"/>
        <w:spacing w:before="238" w:after="0" w:line="360" w:lineRule="auto"/>
        <w:ind w:left="100" w:leftChars="50"/>
        <w:contextualSpacing/>
        <w:jc w:val="center"/>
        <w:rPr>
          <w:color w:val="000000"/>
          <w:sz w:val="24"/>
          <w:szCs w:val="24"/>
        </w:rPr>
      </w:pPr>
    </w:p>
    <w:p w:rsidR="005A5ABE" w:rsidP="00602B22">
      <w:pPr>
        <w:pStyle w:val="BodyText"/>
        <w:spacing w:before="238" w:after="0" w:line="360" w:lineRule="auto"/>
        <w:ind w:left="100" w:leftChars="50"/>
        <w:contextualSpacing/>
        <w:jc w:val="center"/>
        <w:rPr>
          <w:color w:val="000000"/>
          <w:sz w:val="24"/>
          <w:szCs w:val="24"/>
        </w:rPr>
      </w:pPr>
    </w:p>
    <w:p w:rsidR="005A5ABE" w:rsidP="00602B22">
      <w:pPr>
        <w:pStyle w:val="BodyText"/>
        <w:spacing w:before="238" w:after="0" w:line="360" w:lineRule="auto"/>
        <w:ind w:left="100" w:leftChars="50"/>
        <w:contextualSpacing/>
        <w:jc w:val="center"/>
        <w:rPr>
          <w:color w:val="000000"/>
          <w:sz w:val="24"/>
          <w:szCs w:val="24"/>
        </w:rPr>
      </w:pPr>
    </w:p>
    <w:p w:rsidR="005A5ABE" w:rsidP="00602B22">
      <w:pPr>
        <w:pStyle w:val="BodyText"/>
        <w:spacing w:before="238" w:after="0" w:line="360" w:lineRule="auto"/>
        <w:ind w:left="100" w:leftChars="50"/>
        <w:contextualSpacing/>
        <w:jc w:val="center"/>
        <w:rPr>
          <w:color w:val="000000"/>
          <w:sz w:val="24"/>
          <w:szCs w:val="24"/>
        </w:rPr>
      </w:pPr>
    </w:p>
    <w:p w:rsidR="005A5ABE" w:rsidP="00602B22">
      <w:pPr>
        <w:pStyle w:val="BodyText"/>
        <w:spacing w:before="238" w:after="0" w:line="360" w:lineRule="auto"/>
        <w:ind w:left="100" w:leftChars="50"/>
        <w:contextualSpacing/>
        <w:jc w:val="center"/>
        <w:rPr>
          <w:color w:val="000000"/>
          <w:sz w:val="24"/>
          <w:szCs w:val="24"/>
        </w:rPr>
      </w:pPr>
    </w:p>
    <w:p w:rsidR="005A5ABE" w:rsidP="005A5ABE">
      <w:pPr>
        <w:spacing w:before="100" w:beforeAutospacing="1" w:after="100" w:afterAutospacing="1" w:line="276" w:lineRule="auto"/>
        <w:jc w:val="center"/>
        <w:outlineLvl w:val="1"/>
        <w:rPr>
          <w:b/>
          <w:bCs/>
          <w:sz w:val="24"/>
          <w:szCs w:val="24"/>
        </w:rPr>
      </w:pPr>
    </w:p>
    <w:p w:rsidR="004C4032" w:rsidP="005A5ABE">
      <w:pPr>
        <w:spacing w:before="100" w:beforeAutospacing="1" w:after="100" w:afterAutospacing="1" w:line="276" w:lineRule="auto"/>
        <w:jc w:val="center"/>
        <w:outlineLvl w:val="1"/>
        <w:rPr>
          <w:b/>
          <w:bCs/>
          <w:sz w:val="24"/>
          <w:szCs w:val="24"/>
        </w:rPr>
      </w:pPr>
      <w:r w:rsidRPr="001650F1">
        <w:rPr>
          <w:b/>
          <w:bCs/>
          <w:sz w:val="24"/>
          <w:szCs w:val="24"/>
        </w:rPr>
        <w:t>REFERÊNCIAS NORMATIVAS E BIBLIOGRÁFICAS</w:t>
      </w:r>
    </w:p>
    <w:p w:rsidR="005A5ABE" w:rsidRPr="001650F1" w:rsidP="005A5ABE">
      <w:pPr>
        <w:spacing w:before="100" w:beforeAutospacing="1" w:after="100" w:afterAutospacing="1" w:line="276" w:lineRule="auto"/>
        <w:jc w:val="center"/>
        <w:outlineLvl w:val="1"/>
        <w:rPr>
          <w:b/>
          <w:bCs/>
          <w:sz w:val="24"/>
          <w:szCs w:val="24"/>
        </w:rPr>
      </w:pPr>
    </w:p>
    <w:p w:rsidR="004C4032" w:rsidRPr="004C4032" w:rsidP="004C4032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Pr="004C4032">
        <w:rPr>
          <w:sz w:val="24"/>
          <w:szCs w:val="24"/>
        </w:rPr>
        <w:t xml:space="preserve">Constituição da República Federativa do Brasil de 1988, </w:t>
      </w:r>
      <w:r w:rsidRPr="004C4032" w:rsidR="00A7033D">
        <w:rPr>
          <w:sz w:val="24"/>
          <w:szCs w:val="24"/>
        </w:rPr>
        <w:t>art</w:t>
      </w:r>
      <w:r w:rsidR="00A7033D">
        <w:rPr>
          <w:sz w:val="24"/>
          <w:szCs w:val="24"/>
        </w:rPr>
        <w:t>s</w:t>
      </w:r>
      <w:r w:rsidRPr="004C4032" w:rsidR="00A7033D">
        <w:rPr>
          <w:sz w:val="24"/>
          <w:szCs w:val="24"/>
        </w:rPr>
        <w:t>.</w:t>
      </w:r>
      <w:r w:rsidR="00A7033D">
        <w:rPr>
          <w:sz w:val="24"/>
          <w:szCs w:val="24"/>
        </w:rPr>
        <w:t xml:space="preserve"> 30, I e II; 37.</w:t>
      </w:r>
      <w:r w:rsidRPr="004C4032">
        <w:rPr>
          <w:sz w:val="24"/>
          <w:szCs w:val="24"/>
        </w:rPr>
        <w:t xml:space="preserve"> </w:t>
      </w:r>
    </w:p>
    <w:p w:rsidR="004C4032" w:rsidRPr="001650F1" w:rsidP="004C4032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Pr="001650F1">
        <w:rPr>
          <w:sz w:val="24"/>
          <w:szCs w:val="24"/>
        </w:rPr>
        <w:t xml:space="preserve">Lei Complementar nº 101/2000 – Lei de Responsabilidade Fiscal, </w:t>
      </w:r>
      <w:r w:rsidRPr="001650F1">
        <w:rPr>
          <w:sz w:val="24"/>
          <w:szCs w:val="24"/>
        </w:rPr>
        <w:t>arts</w:t>
      </w:r>
      <w:r w:rsidRPr="001650F1">
        <w:rPr>
          <w:sz w:val="24"/>
          <w:szCs w:val="24"/>
        </w:rPr>
        <w:t xml:space="preserve">. 15, 16 e 17. </w:t>
      </w:r>
    </w:p>
    <w:p w:rsidR="004C4032" w:rsidRPr="001650F1" w:rsidP="004C4032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Pr="001650F1">
        <w:rPr>
          <w:sz w:val="24"/>
          <w:szCs w:val="24"/>
        </w:rPr>
        <w:t xml:space="preserve">Lei Federal nº 8.080/1990. </w:t>
      </w:r>
    </w:p>
    <w:p w:rsidR="004C4032" w:rsidRPr="001650F1" w:rsidP="004C4032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Pr="001650F1">
        <w:rPr>
          <w:sz w:val="24"/>
          <w:szCs w:val="24"/>
        </w:rPr>
        <w:t xml:space="preserve">Resolução nº 276, de 09 de novembro de 2010 – Regimento Interno da Câmara Municipal de Mogi Mirim. </w:t>
      </w:r>
    </w:p>
    <w:p w:rsidR="004C4032" w:rsidRPr="001650F1" w:rsidP="004C4032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Pr="001650F1">
        <w:rPr>
          <w:sz w:val="24"/>
          <w:szCs w:val="24"/>
        </w:rPr>
        <w:t xml:space="preserve">Lei Orgânica do Município de Mogi Mirim. </w:t>
      </w:r>
    </w:p>
    <w:p w:rsidR="004C4032" w:rsidRPr="001650F1" w:rsidP="004C4032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Pr="001650F1">
        <w:rPr>
          <w:sz w:val="24"/>
          <w:szCs w:val="24"/>
        </w:rPr>
        <w:t xml:space="preserve">STF, RE 878.911/RJ, Tema 917 da Repercussão Geral. </w:t>
      </w:r>
    </w:p>
    <w:p w:rsidR="004C4032" w:rsidRPr="001650F1" w:rsidP="004C4032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Pr="001650F1">
        <w:rPr>
          <w:sz w:val="24"/>
          <w:szCs w:val="24"/>
        </w:rPr>
        <w:t xml:space="preserve">Nota Técnica nº 002/2026 – Procuradoria Jurídica da Câmara Municipal de Mogi Mirim. </w:t>
      </w:r>
    </w:p>
    <w:p w:rsidR="004C4032" w:rsidRPr="001650F1" w:rsidP="004C4032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Pr="001650F1">
        <w:rPr>
          <w:sz w:val="24"/>
          <w:szCs w:val="24"/>
        </w:rPr>
        <w:t>Processo Legislativo do Projeto de Lei nº 18/2026</w:t>
      </w:r>
      <w:r w:rsidR="005A5ABE">
        <w:rPr>
          <w:sz w:val="24"/>
          <w:szCs w:val="24"/>
        </w:rPr>
        <w:t>.</w:t>
      </w:r>
    </w:p>
    <w:p w:rsidR="004C4032" w:rsidP="004C4032">
      <w:pPr>
        <w:pStyle w:val="BodyText"/>
        <w:spacing w:before="238" w:after="0" w:line="360" w:lineRule="auto"/>
        <w:ind w:left="100" w:leftChars="50"/>
        <w:contextualSpacing/>
        <w:jc w:val="left"/>
        <w:rPr>
          <w:color w:val="000000"/>
          <w:sz w:val="24"/>
          <w:szCs w:val="24"/>
        </w:rPr>
      </w:pPr>
    </w:p>
    <w:p w:rsidR="00602B22" w:rsidP="00602B22">
      <w:pPr>
        <w:pStyle w:val="BodyText"/>
        <w:spacing w:before="238" w:after="0" w:line="360" w:lineRule="auto"/>
        <w:ind w:left="100" w:leftChars="50"/>
        <w:contextualSpacing/>
        <w:jc w:val="center"/>
        <w:rPr>
          <w:color w:val="000000"/>
          <w:sz w:val="24"/>
          <w:szCs w:val="24"/>
        </w:rPr>
      </w:pPr>
    </w:p>
    <w:p w:rsidR="00602B22" w:rsidP="00602B22">
      <w:pPr>
        <w:pStyle w:val="BodyText"/>
        <w:spacing w:before="238" w:after="0" w:line="360" w:lineRule="auto"/>
        <w:ind w:left="100" w:leftChars="50"/>
        <w:contextualSpacing/>
        <w:jc w:val="center"/>
        <w:rPr>
          <w:color w:val="000000"/>
          <w:sz w:val="24"/>
          <w:szCs w:val="24"/>
        </w:rPr>
      </w:pPr>
    </w:p>
    <w:p w:rsidR="00602B22" w:rsidP="00602B22">
      <w:pPr>
        <w:pStyle w:val="BodyText"/>
        <w:spacing w:before="238" w:after="0" w:line="360" w:lineRule="auto"/>
        <w:ind w:left="100" w:leftChars="50"/>
        <w:contextualSpacing/>
        <w:jc w:val="center"/>
        <w:rPr>
          <w:color w:val="000000"/>
          <w:sz w:val="24"/>
          <w:szCs w:val="24"/>
        </w:rPr>
      </w:pPr>
    </w:p>
    <w:p w:rsidR="005A5ABE" w:rsidP="00602B22">
      <w:pPr>
        <w:pStyle w:val="BodyText"/>
        <w:spacing w:before="238" w:after="0" w:line="360" w:lineRule="auto"/>
        <w:ind w:left="100" w:leftChars="50"/>
        <w:contextualSpacing/>
        <w:jc w:val="center"/>
        <w:rPr>
          <w:color w:val="000000"/>
          <w:sz w:val="24"/>
          <w:szCs w:val="24"/>
        </w:rPr>
      </w:pPr>
    </w:p>
    <w:p w:rsidR="005A5ABE" w:rsidP="00602B22">
      <w:pPr>
        <w:pStyle w:val="BodyText"/>
        <w:spacing w:before="238" w:after="0" w:line="360" w:lineRule="auto"/>
        <w:ind w:left="100" w:leftChars="50"/>
        <w:contextualSpacing/>
        <w:jc w:val="center"/>
        <w:rPr>
          <w:color w:val="000000"/>
          <w:sz w:val="24"/>
          <w:szCs w:val="24"/>
        </w:rPr>
      </w:pPr>
    </w:p>
    <w:p w:rsidR="005A5ABE" w:rsidP="00602B22">
      <w:pPr>
        <w:pStyle w:val="BodyText"/>
        <w:spacing w:before="238" w:after="0" w:line="360" w:lineRule="auto"/>
        <w:ind w:left="100" w:leftChars="50"/>
        <w:contextualSpacing/>
        <w:jc w:val="center"/>
        <w:rPr>
          <w:color w:val="000000"/>
          <w:sz w:val="24"/>
          <w:szCs w:val="24"/>
        </w:rPr>
      </w:pPr>
    </w:p>
    <w:p w:rsidR="005A5ABE" w:rsidP="00602B22">
      <w:pPr>
        <w:pStyle w:val="BodyText"/>
        <w:spacing w:before="238" w:after="0" w:line="360" w:lineRule="auto"/>
        <w:ind w:left="100" w:leftChars="50"/>
        <w:contextualSpacing/>
        <w:jc w:val="center"/>
        <w:rPr>
          <w:color w:val="000000"/>
          <w:sz w:val="24"/>
          <w:szCs w:val="24"/>
        </w:rPr>
      </w:pPr>
    </w:p>
    <w:p w:rsidR="005A5ABE" w:rsidP="00602B22">
      <w:pPr>
        <w:pStyle w:val="BodyText"/>
        <w:spacing w:before="238" w:after="0" w:line="360" w:lineRule="auto"/>
        <w:ind w:left="100" w:leftChars="50"/>
        <w:contextualSpacing/>
        <w:jc w:val="center"/>
        <w:rPr>
          <w:color w:val="000000"/>
          <w:sz w:val="24"/>
          <w:szCs w:val="24"/>
        </w:rPr>
      </w:pPr>
    </w:p>
    <w:p w:rsidR="005A5ABE" w:rsidP="00602B22">
      <w:pPr>
        <w:pStyle w:val="BodyText"/>
        <w:spacing w:before="238" w:after="0" w:line="360" w:lineRule="auto"/>
        <w:ind w:left="100" w:leftChars="50"/>
        <w:contextualSpacing/>
        <w:jc w:val="center"/>
        <w:rPr>
          <w:color w:val="000000"/>
          <w:sz w:val="24"/>
          <w:szCs w:val="24"/>
        </w:rPr>
      </w:pPr>
    </w:p>
    <w:p w:rsidR="005A5ABE" w:rsidP="00602B22">
      <w:pPr>
        <w:pStyle w:val="BodyText"/>
        <w:spacing w:before="238" w:after="0" w:line="360" w:lineRule="auto"/>
        <w:ind w:left="100" w:leftChars="50"/>
        <w:contextualSpacing/>
        <w:jc w:val="center"/>
        <w:rPr>
          <w:color w:val="000000"/>
          <w:sz w:val="24"/>
          <w:szCs w:val="24"/>
        </w:rPr>
      </w:pPr>
    </w:p>
    <w:p w:rsidR="005A5ABE" w:rsidP="00602B22">
      <w:pPr>
        <w:pStyle w:val="BodyText"/>
        <w:spacing w:before="238" w:after="0" w:line="360" w:lineRule="auto"/>
        <w:ind w:left="100" w:leftChars="50"/>
        <w:contextualSpacing/>
        <w:jc w:val="center"/>
        <w:rPr>
          <w:color w:val="000000"/>
          <w:sz w:val="24"/>
          <w:szCs w:val="24"/>
        </w:rPr>
      </w:pPr>
    </w:p>
    <w:p w:rsidR="005A5ABE" w:rsidP="00602B22">
      <w:pPr>
        <w:pStyle w:val="BodyText"/>
        <w:spacing w:before="238" w:after="0" w:line="360" w:lineRule="auto"/>
        <w:ind w:left="100" w:leftChars="50"/>
        <w:contextualSpacing/>
        <w:jc w:val="center"/>
        <w:rPr>
          <w:color w:val="000000"/>
          <w:sz w:val="24"/>
          <w:szCs w:val="24"/>
        </w:rPr>
      </w:pPr>
    </w:p>
    <w:p w:rsidR="00602B22" w:rsidP="00602B22">
      <w:pPr>
        <w:pStyle w:val="BodyText"/>
        <w:spacing w:before="238" w:after="0" w:line="360" w:lineRule="auto"/>
        <w:ind w:left="100" w:leftChars="50"/>
        <w:contextualSpacing/>
        <w:jc w:val="center"/>
        <w:rPr>
          <w:color w:val="000000"/>
          <w:sz w:val="24"/>
          <w:szCs w:val="24"/>
        </w:rPr>
      </w:pPr>
    </w:p>
    <w:p w:rsidR="00602B22" w:rsidP="00602B22">
      <w:pPr>
        <w:pStyle w:val="BodyText"/>
        <w:spacing w:before="238" w:after="0" w:line="360" w:lineRule="auto"/>
        <w:ind w:left="100" w:leftChars="50"/>
        <w:contextualSpacing/>
        <w:jc w:val="center"/>
        <w:rPr>
          <w:color w:val="000000"/>
          <w:sz w:val="24"/>
          <w:szCs w:val="24"/>
        </w:rPr>
      </w:pPr>
    </w:p>
    <w:p w:rsidR="00602B22" w:rsidP="00602B22">
      <w:pPr>
        <w:pStyle w:val="BodyText"/>
        <w:spacing w:before="238" w:after="0" w:line="360" w:lineRule="auto"/>
        <w:ind w:left="100" w:leftChars="50"/>
        <w:contextualSpacing/>
        <w:jc w:val="center"/>
        <w:rPr>
          <w:color w:val="000000"/>
          <w:sz w:val="24"/>
          <w:szCs w:val="24"/>
        </w:rPr>
      </w:pPr>
    </w:p>
    <w:bookmarkEnd w:id="1"/>
    <w:p w:rsidR="00FE32E2" w:rsidP="00FE32E2">
      <w:pPr>
        <w:pStyle w:val="BodyText"/>
        <w:spacing w:line="240" w:lineRule="auto"/>
        <w:jc w:val="center"/>
        <w:rPr>
          <w:b/>
          <w:color w:val="000000"/>
          <w:sz w:val="24"/>
          <w:szCs w:val="24"/>
        </w:rPr>
      </w:pPr>
      <w:r w:rsidRPr="00FE32E2">
        <w:rPr>
          <w:b/>
          <w:color w:val="000000"/>
          <w:sz w:val="24"/>
          <w:szCs w:val="24"/>
        </w:rPr>
        <w:t>PARECER DA COMISS</w:t>
      </w:r>
      <w:r w:rsidR="00224C93">
        <w:rPr>
          <w:b/>
          <w:color w:val="000000"/>
          <w:sz w:val="24"/>
          <w:szCs w:val="24"/>
        </w:rPr>
        <w:t>ÃO</w:t>
      </w:r>
      <w:r w:rsidR="00671E65">
        <w:rPr>
          <w:b/>
          <w:color w:val="000000"/>
          <w:sz w:val="24"/>
          <w:szCs w:val="24"/>
        </w:rPr>
        <w:t xml:space="preserve"> </w:t>
      </w:r>
      <w:r w:rsidRPr="00671E65" w:rsidR="00671E65">
        <w:rPr>
          <w:b/>
          <w:bCs/>
          <w:color w:val="000000"/>
          <w:sz w:val="24"/>
          <w:szCs w:val="24"/>
          <w:shd w:val="clear" w:color="auto" w:fill="FFFFFF"/>
        </w:rPr>
        <w:t xml:space="preserve">DE </w:t>
      </w:r>
      <w:r w:rsidRPr="00FE32E2">
        <w:rPr>
          <w:b/>
          <w:color w:val="000000"/>
          <w:sz w:val="24"/>
          <w:szCs w:val="24"/>
        </w:rPr>
        <w:t>FINANÇAS E ORÇAMENTO.</w:t>
      </w:r>
    </w:p>
    <w:p w:rsidR="005A5ABE" w:rsidRPr="00FE32E2" w:rsidP="00FE32E2">
      <w:pPr>
        <w:pStyle w:val="BodyText"/>
        <w:spacing w:line="240" w:lineRule="auto"/>
        <w:jc w:val="center"/>
        <w:rPr>
          <w:b/>
          <w:color w:val="000000"/>
          <w:sz w:val="24"/>
          <w:szCs w:val="24"/>
        </w:rPr>
      </w:pPr>
    </w:p>
    <w:p w:rsidR="00C346E9" w:rsidRPr="001650F1" w:rsidP="00A7033D">
      <w:pPr>
        <w:pStyle w:val="BodyText"/>
        <w:spacing w:before="240"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247F37" w:rsidR="003A48C4">
        <w:rPr>
          <w:sz w:val="24"/>
          <w:szCs w:val="24"/>
        </w:rPr>
        <w:t xml:space="preserve">Em estrita consonância e seguindo o </w:t>
      </w:r>
      <w:r w:rsidR="00A8476E">
        <w:rPr>
          <w:sz w:val="24"/>
          <w:szCs w:val="24"/>
        </w:rPr>
        <w:t>parecer do</w:t>
      </w:r>
      <w:r w:rsidRPr="00247F37" w:rsidR="003A48C4">
        <w:rPr>
          <w:sz w:val="24"/>
          <w:szCs w:val="24"/>
        </w:rPr>
        <w:t xml:space="preserve"> Relator e conforme determina o</w:t>
      </w:r>
      <w:r w:rsidR="00BE281C">
        <w:rPr>
          <w:sz w:val="24"/>
          <w:szCs w:val="24"/>
        </w:rPr>
        <w:t xml:space="preserve"> artigo 37</w:t>
      </w:r>
      <w:r w:rsidRPr="00247F37" w:rsidR="003A48C4">
        <w:rPr>
          <w:sz w:val="24"/>
          <w:szCs w:val="24"/>
        </w:rPr>
        <w:t>, da Resolução Nº 276 de 09 de novembro de 2.010, os membros da Comiss</w:t>
      </w:r>
      <w:r w:rsidR="00BE281C">
        <w:rPr>
          <w:sz w:val="24"/>
          <w:szCs w:val="24"/>
        </w:rPr>
        <w:t>ão</w:t>
      </w:r>
      <w:r w:rsidRPr="00247F37" w:rsidR="003A48C4">
        <w:rPr>
          <w:sz w:val="24"/>
          <w:szCs w:val="24"/>
        </w:rPr>
        <w:t xml:space="preserve"> </w:t>
      </w:r>
      <w:r w:rsidR="003A48C4">
        <w:rPr>
          <w:color w:val="000000"/>
          <w:sz w:val="24"/>
          <w:szCs w:val="24"/>
        </w:rPr>
        <w:t xml:space="preserve">de </w:t>
      </w:r>
      <w:r w:rsidRPr="00FE32E2" w:rsidR="003A48C4">
        <w:rPr>
          <w:color w:val="000000"/>
          <w:sz w:val="24"/>
          <w:szCs w:val="24"/>
        </w:rPr>
        <w:t>Finanças e Orçamento</w:t>
      </w:r>
      <w:r w:rsidRPr="00247F37" w:rsidR="003A48C4">
        <w:rPr>
          <w:sz w:val="24"/>
          <w:szCs w:val="24"/>
        </w:rPr>
        <w:t xml:space="preserve"> após análise</w:t>
      </w:r>
      <w:r w:rsidR="00651211">
        <w:rPr>
          <w:sz w:val="24"/>
          <w:szCs w:val="24"/>
        </w:rPr>
        <w:t>,</w:t>
      </w:r>
      <w:r w:rsidRPr="00247F37" w:rsidR="003A48C4">
        <w:rPr>
          <w:sz w:val="24"/>
          <w:szCs w:val="24"/>
        </w:rPr>
        <w:t xml:space="preserve"> a tramitação deste projeto se apresenta com</w:t>
      </w:r>
      <w:r w:rsidR="00651211">
        <w:rPr>
          <w:sz w:val="24"/>
          <w:szCs w:val="24"/>
        </w:rPr>
        <w:t xml:space="preserve"> </w:t>
      </w:r>
      <w:r w:rsidRPr="00247F37" w:rsidR="003A48C4">
        <w:rPr>
          <w:sz w:val="24"/>
          <w:szCs w:val="24"/>
        </w:rPr>
        <w:t>o</w:t>
      </w:r>
      <w:r w:rsidR="00651211">
        <w:rPr>
          <w:sz w:val="24"/>
          <w:szCs w:val="24"/>
        </w:rPr>
        <w:t xml:space="preserve">bjetivo a descentralização da vacinação antirrábica, </w:t>
      </w:r>
      <w:r w:rsidR="00A8476E">
        <w:rPr>
          <w:sz w:val="24"/>
          <w:szCs w:val="24"/>
        </w:rPr>
        <w:t xml:space="preserve">para </w:t>
      </w:r>
      <w:r w:rsidR="00651211">
        <w:rPr>
          <w:sz w:val="24"/>
          <w:szCs w:val="24"/>
        </w:rPr>
        <w:t xml:space="preserve">melhor </w:t>
      </w:r>
      <w:r w:rsidR="00A3016D">
        <w:rPr>
          <w:sz w:val="24"/>
          <w:szCs w:val="24"/>
        </w:rPr>
        <w:t xml:space="preserve">promover </w:t>
      </w:r>
      <w:r w:rsidR="00651211">
        <w:rPr>
          <w:sz w:val="24"/>
          <w:szCs w:val="24"/>
        </w:rPr>
        <w:t>e r</w:t>
      </w:r>
      <w:r w:rsidR="00A3016D">
        <w:rPr>
          <w:sz w:val="24"/>
          <w:szCs w:val="24"/>
        </w:rPr>
        <w:t xml:space="preserve">eforçando a importância </w:t>
      </w:r>
      <w:r w:rsidR="00651211">
        <w:rPr>
          <w:sz w:val="24"/>
          <w:szCs w:val="24"/>
        </w:rPr>
        <w:t xml:space="preserve">da vacinação dos animais </w:t>
      </w:r>
      <w:r w:rsidR="00A3016D">
        <w:rPr>
          <w:sz w:val="24"/>
          <w:szCs w:val="24"/>
        </w:rPr>
        <w:t>o</w:t>
      </w:r>
      <w:r w:rsidR="00651211">
        <w:rPr>
          <w:sz w:val="24"/>
          <w:szCs w:val="24"/>
        </w:rPr>
        <w:t xml:space="preserve"> que b</w:t>
      </w:r>
      <w:r w:rsidRPr="00247F37" w:rsidR="00651211">
        <w:rPr>
          <w:sz w:val="24"/>
          <w:szCs w:val="24"/>
        </w:rPr>
        <w:t>enefici</w:t>
      </w:r>
      <w:r w:rsidR="00651211">
        <w:rPr>
          <w:sz w:val="24"/>
          <w:szCs w:val="24"/>
        </w:rPr>
        <w:t>ará os munícipes e promovendo a saúde pública</w:t>
      </w:r>
      <w:r w:rsidRPr="00247F37" w:rsidR="003A48C4">
        <w:rPr>
          <w:sz w:val="24"/>
          <w:szCs w:val="24"/>
        </w:rPr>
        <w:t xml:space="preserve">, </w:t>
      </w:r>
      <w:r w:rsidR="00A8476E">
        <w:rPr>
          <w:sz w:val="24"/>
          <w:szCs w:val="24"/>
        </w:rPr>
        <w:t>portanto manifesta-se FAVORAVELMENTE à tramitação e aprovação do Projeto de Lei nº 18/2026, com observância da emenda supressiva já aprovada pela Comissão de Justiça e Redação.</w:t>
      </w:r>
    </w:p>
    <w:p w:rsidR="00C346E9" w:rsidP="003A48C4">
      <w:pPr>
        <w:pStyle w:val="BodyText"/>
        <w:spacing w:before="240" w:after="0" w:line="240" w:lineRule="auto"/>
        <w:rPr>
          <w:sz w:val="24"/>
          <w:szCs w:val="24"/>
        </w:rPr>
      </w:pPr>
    </w:p>
    <w:p w:rsidR="002563F2" w:rsidP="002563F2">
      <w:pPr>
        <w:pStyle w:val="FirstParagraph"/>
        <w:spacing w:line="276" w:lineRule="auto"/>
        <w:jc w:val="center"/>
        <w:rPr>
          <w:rFonts w:ascii="Times New Roman" w:hAnsi="Times New Roman" w:cs="Times New Roman"/>
        </w:rPr>
      </w:pPr>
      <w:bookmarkStart w:id="2" w:name="_GoBack"/>
      <w:bookmarkEnd w:id="2"/>
      <w:r w:rsidRPr="00721C3A">
        <w:rPr>
          <w:rFonts w:ascii="Times New Roman" w:hAnsi="Times New Roman" w:cs="Times New Roman"/>
        </w:rPr>
        <w:t xml:space="preserve">Sala das Comissões “Vereador Santo Róttoli”, Mogi Mirim, </w:t>
      </w:r>
      <w:r w:rsidR="00A8476E">
        <w:rPr>
          <w:rFonts w:ascii="Times New Roman" w:hAnsi="Times New Roman" w:cs="Times New Roman"/>
        </w:rPr>
        <w:t>0</w:t>
      </w:r>
      <w:r w:rsidR="00A7033D">
        <w:rPr>
          <w:rFonts w:ascii="Times New Roman" w:hAnsi="Times New Roman" w:cs="Times New Roman"/>
        </w:rPr>
        <w:t>7</w:t>
      </w:r>
      <w:r w:rsidRPr="00721C3A">
        <w:rPr>
          <w:rFonts w:ascii="Times New Roman" w:hAnsi="Times New Roman" w:cs="Times New Roman"/>
        </w:rPr>
        <w:t xml:space="preserve"> de </w:t>
      </w:r>
      <w:r w:rsidR="00A8476E">
        <w:rPr>
          <w:rFonts w:ascii="Times New Roman" w:hAnsi="Times New Roman" w:cs="Times New Roman"/>
        </w:rPr>
        <w:t>maio</w:t>
      </w:r>
      <w:r w:rsidRPr="00721C3A">
        <w:rPr>
          <w:rFonts w:ascii="Times New Roman" w:hAnsi="Times New Roman" w:cs="Times New Roman"/>
        </w:rPr>
        <w:t xml:space="preserve"> de 2026.</w:t>
      </w:r>
    </w:p>
    <w:p w:rsidR="00A3016D" w:rsidRPr="00A3016D" w:rsidP="00A3016D">
      <w:pPr>
        <w:pStyle w:val="BodyText"/>
        <w:rPr>
          <w:lang w:val="en-US" w:eastAsia="en-US"/>
        </w:rPr>
      </w:pPr>
    </w:p>
    <w:p w:rsidR="005A5ABE" w:rsidP="002563F2">
      <w:pPr>
        <w:pStyle w:val="BodyText"/>
        <w:spacing w:line="240" w:lineRule="auto"/>
        <w:rPr>
          <w:sz w:val="24"/>
          <w:szCs w:val="24"/>
        </w:rPr>
      </w:pPr>
    </w:p>
    <w:p w:rsidR="00FE32E2" w:rsidRPr="00FE32E2" w:rsidP="002563F2">
      <w:pPr>
        <w:pStyle w:val="BodyText"/>
        <w:spacing w:line="240" w:lineRule="auto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E32E2">
        <w:rPr>
          <w:sz w:val="24"/>
          <w:szCs w:val="24"/>
        </w:rPr>
        <w:br/>
      </w:r>
    </w:p>
    <w:p w:rsidR="00FE32E2" w:rsidRPr="00FE32E2" w:rsidP="00FE32E2">
      <w:pPr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E32E2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FE32E2" w:rsidRPr="00FE32E2" w:rsidP="00FE32E2">
      <w:pPr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FE32E2" w:rsidP="00FE32E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E281C" w:rsidP="00FE32E2">
      <w:pPr>
        <w:jc w:val="center"/>
        <w:rPr>
          <w:sz w:val="24"/>
          <w:szCs w:val="24"/>
        </w:rPr>
      </w:pPr>
    </w:p>
    <w:p w:rsidR="005A5ABE" w:rsidP="00FE32E2">
      <w:pPr>
        <w:jc w:val="center"/>
        <w:rPr>
          <w:sz w:val="24"/>
          <w:szCs w:val="24"/>
        </w:rPr>
      </w:pPr>
    </w:p>
    <w:p w:rsidR="00BE281C" w:rsidRPr="00FE32E2" w:rsidP="00FE32E2">
      <w:pPr>
        <w:jc w:val="center"/>
        <w:rPr>
          <w:sz w:val="24"/>
          <w:szCs w:val="24"/>
        </w:rPr>
      </w:pPr>
    </w:p>
    <w:p w:rsidR="00FE32E2" w:rsidRPr="002563F2" w:rsidP="00FE32E2">
      <w:pPr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2563F2">
        <w:rPr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FE32E2" w:rsidP="00FE32E2">
      <w:pPr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2563F2">
        <w:rPr>
          <w:bCs/>
          <w:color w:val="000000"/>
          <w:sz w:val="24"/>
          <w:szCs w:val="24"/>
          <w:shd w:val="clear" w:color="auto" w:fill="FFFFFF"/>
        </w:rPr>
        <w:t xml:space="preserve">Presidente </w:t>
      </w:r>
    </w:p>
    <w:p w:rsidR="004D155D" w:rsidP="00FE32E2">
      <w:pPr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BE281C" w:rsidP="00FE32E2">
      <w:pPr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5A5ABE" w:rsidP="00FE32E2">
      <w:pPr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BE281C" w:rsidRPr="002563F2" w:rsidP="00FE32E2">
      <w:pPr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FE32E2" w:rsidRPr="002563F2" w:rsidP="00FE32E2">
      <w:pPr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FE32E2" w:rsidRPr="002563F2" w:rsidP="00FE32E2">
      <w:pPr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2563F2">
        <w:rPr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FE32E2" w:rsidP="00FE32E2">
      <w:pPr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2563F2">
        <w:rPr>
          <w:bCs/>
          <w:color w:val="000000"/>
          <w:sz w:val="24"/>
          <w:szCs w:val="24"/>
          <w:shd w:val="clear" w:color="auto" w:fill="FFFFFF"/>
        </w:rPr>
        <w:t>Vice-Presidente</w:t>
      </w:r>
      <w:r w:rsidRPr="002563F2" w:rsidR="001C2EF1">
        <w:rPr>
          <w:bCs/>
          <w:color w:val="000000"/>
          <w:sz w:val="24"/>
          <w:szCs w:val="24"/>
          <w:shd w:val="clear" w:color="auto" w:fill="FFFFFF"/>
        </w:rPr>
        <w:t>/Relator</w:t>
      </w:r>
    </w:p>
    <w:p w:rsidR="004D155D" w:rsidP="00FE32E2">
      <w:pPr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5A5ABE" w:rsidRPr="002563F2" w:rsidP="00FE32E2">
      <w:pPr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FE32E2" w:rsidP="00FE32E2">
      <w:pPr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BE281C" w:rsidP="00FE32E2">
      <w:pPr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BE281C" w:rsidRPr="002563F2" w:rsidP="00FE32E2">
      <w:pPr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FE32E2" w:rsidRPr="002563F2" w:rsidP="00FE32E2">
      <w:pPr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2563F2">
        <w:rPr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830A06" w:rsidP="00850C12">
      <w:pPr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2563F2">
        <w:rPr>
          <w:bCs/>
          <w:color w:val="000000"/>
          <w:sz w:val="24"/>
          <w:szCs w:val="24"/>
          <w:shd w:val="clear" w:color="auto" w:fill="FFFFFF"/>
        </w:rPr>
        <w:t>Membro</w:t>
      </w:r>
    </w:p>
    <w:p w:rsidR="00671E65" w:rsidP="00850C12">
      <w:pPr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671E65" w:rsidP="00850C12">
      <w:pPr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671E65" w:rsidP="00850C12">
      <w:pPr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671E65" w:rsidRPr="002563F2" w:rsidP="00850C12">
      <w:pPr>
        <w:jc w:val="center"/>
        <w:rPr>
          <w:szCs w:val="24"/>
        </w:rPr>
      </w:pP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Footer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826465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15FD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8615FD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A454B4C"/>
    <w:multiLevelType w:val="multilevel"/>
    <w:tmpl w:val="B92A07AE"/>
    <w:lvl w:ilvl="0">
      <w:start w:val="1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)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Letter"/>
      <w:lvlText w:val="%9)"/>
      <w:lvlJc w:val="left"/>
      <w:pPr>
        <w:tabs>
          <w:tab w:val="num" w:pos="5760"/>
        </w:tabs>
        <w:ind w:left="6240" w:hanging="480"/>
      </w:pPr>
    </w:lvl>
  </w:abstractNum>
  <w:abstractNum w:abstractNumId="1">
    <w:nsid w:val="07156197"/>
    <w:multiLevelType w:val="hybridMultilevel"/>
    <w:tmpl w:val="D75C7D2E"/>
    <w:lvl w:ilvl="0">
      <w:start w:val="1"/>
      <w:numFmt w:val="lowerLetter"/>
      <w:lvlText w:val="%1)"/>
      <w:lvlJc w:val="left"/>
      <w:pPr>
        <w:ind w:left="4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180" w:hanging="360"/>
      </w:pPr>
    </w:lvl>
    <w:lvl w:ilvl="2" w:tentative="1">
      <w:start w:val="1"/>
      <w:numFmt w:val="lowerRoman"/>
      <w:lvlText w:val="%3."/>
      <w:lvlJc w:val="right"/>
      <w:pPr>
        <w:ind w:left="1900" w:hanging="180"/>
      </w:pPr>
    </w:lvl>
    <w:lvl w:ilvl="3" w:tentative="1">
      <w:start w:val="1"/>
      <w:numFmt w:val="decimal"/>
      <w:lvlText w:val="%4."/>
      <w:lvlJc w:val="left"/>
      <w:pPr>
        <w:ind w:left="2620" w:hanging="360"/>
      </w:pPr>
    </w:lvl>
    <w:lvl w:ilvl="4" w:tentative="1">
      <w:start w:val="1"/>
      <w:numFmt w:val="lowerLetter"/>
      <w:lvlText w:val="%5."/>
      <w:lvlJc w:val="left"/>
      <w:pPr>
        <w:ind w:left="3340" w:hanging="360"/>
      </w:pPr>
    </w:lvl>
    <w:lvl w:ilvl="5" w:tentative="1">
      <w:start w:val="1"/>
      <w:numFmt w:val="lowerRoman"/>
      <w:lvlText w:val="%6."/>
      <w:lvlJc w:val="right"/>
      <w:pPr>
        <w:ind w:left="4060" w:hanging="180"/>
      </w:pPr>
    </w:lvl>
    <w:lvl w:ilvl="6" w:tentative="1">
      <w:start w:val="1"/>
      <w:numFmt w:val="decimal"/>
      <w:lvlText w:val="%7."/>
      <w:lvlJc w:val="left"/>
      <w:pPr>
        <w:ind w:left="4780" w:hanging="360"/>
      </w:pPr>
    </w:lvl>
    <w:lvl w:ilvl="7" w:tentative="1">
      <w:start w:val="1"/>
      <w:numFmt w:val="lowerLetter"/>
      <w:lvlText w:val="%8."/>
      <w:lvlJc w:val="left"/>
      <w:pPr>
        <w:ind w:left="5500" w:hanging="360"/>
      </w:pPr>
    </w:lvl>
    <w:lvl w:ilvl="8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>
    <w:nsid w:val="08BD5FE1"/>
    <w:multiLevelType w:val="hybridMultilevel"/>
    <w:tmpl w:val="E9005260"/>
    <w:lvl w:ilvl="0">
      <w:start w:val="2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60" w:hanging="360"/>
      </w:pPr>
    </w:lvl>
    <w:lvl w:ilvl="2" w:tentative="1">
      <w:start w:val="1"/>
      <w:numFmt w:val="lowerRoman"/>
      <w:lvlText w:val="%3."/>
      <w:lvlJc w:val="right"/>
      <w:pPr>
        <w:ind w:left="2280" w:hanging="180"/>
      </w:pPr>
    </w:lvl>
    <w:lvl w:ilvl="3" w:tentative="1">
      <w:start w:val="1"/>
      <w:numFmt w:val="decimal"/>
      <w:lvlText w:val="%4."/>
      <w:lvlJc w:val="left"/>
      <w:pPr>
        <w:ind w:left="3000" w:hanging="360"/>
      </w:pPr>
    </w:lvl>
    <w:lvl w:ilvl="4" w:tentative="1">
      <w:start w:val="1"/>
      <w:numFmt w:val="lowerLetter"/>
      <w:lvlText w:val="%5."/>
      <w:lvlJc w:val="left"/>
      <w:pPr>
        <w:ind w:left="3720" w:hanging="360"/>
      </w:pPr>
    </w:lvl>
    <w:lvl w:ilvl="5" w:tentative="1">
      <w:start w:val="1"/>
      <w:numFmt w:val="lowerRoman"/>
      <w:lvlText w:val="%6."/>
      <w:lvlJc w:val="right"/>
      <w:pPr>
        <w:ind w:left="4440" w:hanging="180"/>
      </w:pPr>
    </w:lvl>
    <w:lvl w:ilvl="6" w:tentative="1">
      <w:start w:val="1"/>
      <w:numFmt w:val="decimal"/>
      <w:lvlText w:val="%7."/>
      <w:lvlJc w:val="left"/>
      <w:pPr>
        <w:ind w:left="5160" w:hanging="360"/>
      </w:pPr>
    </w:lvl>
    <w:lvl w:ilvl="7" w:tentative="1">
      <w:start w:val="1"/>
      <w:numFmt w:val="lowerLetter"/>
      <w:lvlText w:val="%8."/>
      <w:lvlJc w:val="left"/>
      <w:pPr>
        <w:ind w:left="5880" w:hanging="360"/>
      </w:pPr>
    </w:lvl>
    <w:lvl w:ilvl="8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0D3C6FA4"/>
    <w:multiLevelType w:val="hybridMultilevel"/>
    <w:tmpl w:val="4AAE7F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781B72"/>
    <w:multiLevelType w:val="hybridMultilevel"/>
    <w:tmpl w:val="F2E276E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086CD0"/>
    <w:multiLevelType w:val="multilevel"/>
    <w:tmpl w:val="89FE4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087EDE"/>
    <w:multiLevelType w:val="multilevel"/>
    <w:tmpl w:val="AD9A6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C36784"/>
    <w:multiLevelType w:val="multilevel"/>
    <w:tmpl w:val="FAB6E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2351D4"/>
    <w:multiLevelType w:val="multilevel"/>
    <w:tmpl w:val="EAB6F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516EC1"/>
    <w:multiLevelType w:val="multilevel"/>
    <w:tmpl w:val="4454C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68530B"/>
    <w:multiLevelType w:val="multilevel"/>
    <w:tmpl w:val="28384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5B1691"/>
    <w:multiLevelType w:val="multilevel"/>
    <w:tmpl w:val="C628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F27E42"/>
    <w:multiLevelType w:val="multilevel"/>
    <w:tmpl w:val="21CAA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B2490C"/>
    <w:multiLevelType w:val="hybridMultilevel"/>
    <w:tmpl w:val="5350AC94"/>
    <w:lvl w:ilvl="0">
      <w:start w:val="1"/>
      <w:numFmt w:val="lowerLetter"/>
      <w:lvlText w:val="%1."/>
      <w:lvlJc w:val="left"/>
      <w:pPr>
        <w:ind w:left="165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376" w:hanging="360"/>
      </w:pPr>
    </w:lvl>
    <w:lvl w:ilvl="2" w:tentative="1">
      <w:start w:val="1"/>
      <w:numFmt w:val="lowerRoman"/>
      <w:lvlText w:val="%3."/>
      <w:lvlJc w:val="right"/>
      <w:pPr>
        <w:ind w:left="3096" w:hanging="180"/>
      </w:pPr>
    </w:lvl>
    <w:lvl w:ilvl="3" w:tentative="1">
      <w:start w:val="1"/>
      <w:numFmt w:val="decimal"/>
      <w:lvlText w:val="%4."/>
      <w:lvlJc w:val="left"/>
      <w:pPr>
        <w:ind w:left="3816" w:hanging="360"/>
      </w:pPr>
    </w:lvl>
    <w:lvl w:ilvl="4" w:tentative="1">
      <w:start w:val="1"/>
      <w:numFmt w:val="lowerLetter"/>
      <w:lvlText w:val="%5."/>
      <w:lvlJc w:val="left"/>
      <w:pPr>
        <w:ind w:left="4536" w:hanging="360"/>
      </w:pPr>
    </w:lvl>
    <w:lvl w:ilvl="5" w:tentative="1">
      <w:start w:val="1"/>
      <w:numFmt w:val="lowerRoman"/>
      <w:lvlText w:val="%6."/>
      <w:lvlJc w:val="right"/>
      <w:pPr>
        <w:ind w:left="5256" w:hanging="180"/>
      </w:pPr>
    </w:lvl>
    <w:lvl w:ilvl="6" w:tentative="1">
      <w:start w:val="1"/>
      <w:numFmt w:val="decimal"/>
      <w:lvlText w:val="%7."/>
      <w:lvlJc w:val="left"/>
      <w:pPr>
        <w:ind w:left="5976" w:hanging="360"/>
      </w:pPr>
    </w:lvl>
    <w:lvl w:ilvl="7" w:tentative="1">
      <w:start w:val="1"/>
      <w:numFmt w:val="lowerLetter"/>
      <w:lvlText w:val="%8."/>
      <w:lvlJc w:val="left"/>
      <w:pPr>
        <w:ind w:left="6696" w:hanging="360"/>
      </w:pPr>
    </w:lvl>
    <w:lvl w:ilvl="8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4">
    <w:nsid w:val="69A11A52"/>
    <w:multiLevelType w:val="hybridMultilevel"/>
    <w:tmpl w:val="1E727DE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ED5BDA"/>
    <w:multiLevelType w:val="multilevel"/>
    <w:tmpl w:val="100E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3"/>
  </w:num>
  <w:num w:numId="3">
    <w:abstractNumId w:val="12"/>
  </w:num>
  <w:num w:numId="4">
    <w:abstractNumId w:val="7"/>
  </w:num>
  <w:num w:numId="5">
    <w:abstractNumId w:val="8"/>
  </w:num>
  <w:num w:numId="6">
    <w:abstractNumId w:val="1"/>
  </w:num>
  <w:num w:numId="7">
    <w:abstractNumId w:val="5"/>
  </w:num>
  <w:num w:numId="8">
    <w:abstractNumId w:val="15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</w:num>
  <w:num w:numId="12">
    <w:abstractNumId w:val="11"/>
  </w:num>
  <w:num w:numId="13">
    <w:abstractNumId w:val="9"/>
  </w:num>
  <w:num w:numId="14">
    <w:abstractNumId w:val="6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FD"/>
    <w:rsid w:val="000226D6"/>
    <w:rsid w:val="000304E0"/>
    <w:rsid w:val="00080765"/>
    <w:rsid w:val="000D260A"/>
    <w:rsid w:val="000D6F26"/>
    <w:rsid w:val="000E414F"/>
    <w:rsid w:val="000F45EA"/>
    <w:rsid w:val="00106B62"/>
    <w:rsid w:val="001650F1"/>
    <w:rsid w:val="001660DC"/>
    <w:rsid w:val="00166ECC"/>
    <w:rsid w:val="00184F80"/>
    <w:rsid w:val="00186843"/>
    <w:rsid w:val="0019435E"/>
    <w:rsid w:val="00196CA8"/>
    <w:rsid w:val="001B0999"/>
    <w:rsid w:val="001B124E"/>
    <w:rsid w:val="001B3E45"/>
    <w:rsid w:val="001C0B58"/>
    <w:rsid w:val="001C2EF1"/>
    <w:rsid w:val="001F2962"/>
    <w:rsid w:val="00206ABF"/>
    <w:rsid w:val="0021604B"/>
    <w:rsid w:val="00224C93"/>
    <w:rsid w:val="00247F37"/>
    <w:rsid w:val="00255AB9"/>
    <w:rsid w:val="002563F2"/>
    <w:rsid w:val="002652A1"/>
    <w:rsid w:val="00272A03"/>
    <w:rsid w:val="00272CD9"/>
    <w:rsid w:val="00283EC6"/>
    <w:rsid w:val="002879F0"/>
    <w:rsid w:val="002A3601"/>
    <w:rsid w:val="002A4009"/>
    <w:rsid w:val="002B456D"/>
    <w:rsid w:val="002C0F5A"/>
    <w:rsid w:val="002C6153"/>
    <w:rsid w:val="002E374C"/>
    <w:rsid w:val="002E5EA4"/>
    <w:rsid w:val="002E6625"/>
    <w:rsid w:val="0030538A"/>
    <w:rsid w:val="00314B86"/>
    <w:rsid w:val="00330322"/>
    <w:rsid w:val="00352E5F"/>
    <w:rsid w:val="003632D3"/>
    <w:rsid w:val="00381440"/>
    <w:rsid w:val="00396BD5"/>
    <w:rsid w:val="003A3B67"/>
    <w:rsid w:val="003A48C4"/>
    <w:rsid w:val="003A5AA8"/>
    <w:rsid w:val="003B1C46"/>
    <w:rsid w:val="003D4DC7"/>
    <w:rsid w:val="003F4AA7"/>
    <w:rsid w:val="003F56E3"/>
    <w:rsid w:val="003F58A1"/>
    <w:rsid w:val="00424310"/>
    <w:rsid w:val="004418DD"/>
    <w:rsid w:val="00444781"/>
    <w:rsid w:val="00444D5E"/>
    <w:rsid w:val="0045382F"/>
    <w:rsid w:val="004555E9"/>
    <w:rsid w:val="00456054"/>
    <w:rsid w:val="00456B3B"/>
    <w:rsid w:val="00456DD6"/>
    <w:rsid w:val="00463CBE"/>
    <w:rsid w:val="00466A2B"/>
    <w:rsid w:val="004A22B1"/>
    <w:rsid w:val="004A46DA"/>
    <w:rsid w:val="004C4032"/>
    <w:rsid w:val="004D0A1B"/>
    <w:rsid w:val="004D155D"/>
    <w:rsid w:val="004E1CCB"/>
    <w:rsid w:val="004E738D"/>
    <w:rsid w:val="004E7D5A"/>
    <w:rsid w:val="00501A6B"/>
    <w:rsid w:val="0051315C"/>
    <w:rsid w:val="0051346D"/>
    <w:rsid w:val="005163AB"/>
    <w:rsid w:val="00516DD1"/>
    <w:rsid w:val="00547F02"/>
    <w:rsid w:val="0056346E"/>
    <w:rsid w:val="00564A42"/>
    <w:rsid w:val="005A5ABE"/>
    <w:rsid w:val="005C3BD3"/>
    <w:rsid w:val="005D2B9A"/>
    <w:rsid w:val="005E5487"/>
    <w:rsid w:val="005E5A01"/>
    <w:rsid w:val="00602B22"/>
    <w:rsid w:val="00602F85"/>
    <w:rsid w:val="00614281"/>
    <w:rsid w:val="006177BD"/>
    <w:rsid w:val="006179A4"/>
    <w:rsid w:val="006457C5"/>
    <w:rsid w:val="00645F20"/>
    <w:rsid w:val="00651211"/>
    <w:rsid w:val="00660E82"/>
    <w:rsid w:val="00671E65"/>
    <w:rsid w:val="00686F52"/>
    <w:rsid w:val="006B30C7"/>
    <w:rsid w:val="006B48A7"/>
    <w:rsid w:val="006D5A6B"/>
    <w:rsid w:val="006F0330"/>
    <w:rsid w:val="007058BC"/>
    <w:rsid w:val="007103D5"/>
    <w:rsid w:val="00710C84"/>
    <w:rsid w:val="00716F9B"/>
    <w:rsid w:val="00721C3A"/>
    <w:rsid w:val="0072400E"/>
    <w:rsid w:val="00766A52"/>
    <w:rsid w:val="0078183D"/>
    <w:rsid w:val="007841A8"/>
    <w:rsid w:val="00787793"/>
    <w:rsid w:val="007974F1"/>
    <w:rsid w:val="008053EA"/>
    <w:rsid w:val="00807843"/>
    <w:rsid w:val="008115AB"/>
    <w:rsid w:val="00813BB4"/>
    <w:rsid w:val="0082424A"/>
    <w:rsid w:val="00830A06"/>
    <w:rsid w:val="00850C12"/>
    <w:rsid w:val="00850C9B"/>
    <w:rsid w:val="0085374D"/>
    <w:rsid w:val="008615FD"/>
    <w:rsid w:val="00866A1A"/>
    <w:rsid w:val="00876CD4"/>
    <w:rsid w:val="008A5A74"/>
    <w:rsid w:val="008B0EA4"/>
    <w:rsid w:val="008C6540"/>
    <w:rsid w:val="008D06EA"/>
    <w:rsid w:val="008F734D"/>
    <w:rsid w:val="00921F73"/>
    <w:rsid w:val="00922054"/>
    <w:rsid w:val="00956844"/>
    <w:rsid w:val="00957F2C"/>
    <w:rsid w:val="0096744C"/>
    <w:rsid w:val="00976458"/>
    <w:rsid w:val="0098178C"/>
    <w:rsid w:val="00982904"/>
    <w:rsid w:val="009878D9"/>
    <w:rsid w:val="009A1FFA"/>
    <w:rsid w:val="009E292A"/>
    <w:rsid w:val="009F7E99"/>
    <w:rsid w:val="00A14033"/>
    <w:rsid w:val="00A2646B"/>
    <w:rsid w:val="00A3016D"/>
    <w:rsid w:val="00A3081B"/>
    <w:rsid w:val="00A45E06"/>
    <w:rsid w:val="00A463FD"/>
    <w:rsid w:val="00A541DD"/>
    <w:rsid w:val="00A661F9"/>
    <w:rsid w:val="00A7033D"/>
    <w:rsid w:val="00A77BB5"/>
    <w:rsid w:val="00A8293C"/>
    <w:rsid w:val="00A8476E"/>
    <w:rsid w:val="00AB4976"/>
    <w:rsid w:val="00AC41C2"/>
    <w:rsid w:val="00AD66FD"/>
    <w:rsid w:val="00B01DD0"/>
    <w:rsid w:val="00B026BE"/>
    <w:rsid w:val="00B1395A"/>
    <w:rsid w:val="00B26FA3"/>
    <w:rsid w:val="00B341D3"/>
    <w:rsid w:val="00B37CE9"/>
    <w:rsid w:val="00B956A8"/>
    <w:rsid w:val="00BA45DE"/>
    <w:rsid w:val="00BA5959"/>
    <w:rsid w:val="00BB4B19"/>
    <w:rsid w:val="00BC5ED3"/>
    <w:rsid w:val="00BE281C"/>
    <w:rsid w:val="00BE288F"/>
    <w:rsid w:val="00BF1E5C"/>
    <w:rsid w:val="00BF3131"/>
    <w:rsid w:val="00C02357"/>
    <w:rsid w:val="00C02554"/>
    <w:rsid w:val="00C14DB5"/>
    <w:rsid w:val="00C233F4"/>
    <w:rsid w:val="00C3139A"/>
    <w:rsid w:val="00C346E9"/>
    <w:rsid w:val="00C34A3D"/>
    <w:rsid w:val="00C37AFA"/>
    <w:rsid w:val="00C41CD9"/>
    <w:rsid w:val="00C75697"/>
    <w:rsid w:val="00CF06D1"/>
    <w:rsid w:val="00CF0FBF"/>
    <w:rsid w:val="00D06BC4"/>
    <w:rsid w:val="00D07E1F"/>
    <w:rsid w:val="00D14909"/>
    <w:rsid w:val="00D16CDC"/>
    <w:rsid w:val="00D2557E"/>
    <w:rsid w:val="00D271FE"/>
    <w:rsid w:val="00D73B1A"/>
    <w:rsid w:val="00D77F3C"/>
    <w:rsid w:val="00D87740"/>
    <w:rsid w:val="00DA1E4A"/>
    <w:rsid w:val="00DB6F99"/>
    <w:rsid w:val="00DC3D2F"/>
    <w:rsid w:val="00DC5048"/>
    <w:rsid w:val="00DC5CF2"/>
    <w:rsid w:val="00DE0F3B"/>
    <w:rsid w:val="00E01CAC"/>
    <w:rsid w:val="00E03041"/>
    <w:rsid w:val="00E12E88"/>
    <w:rsid w:val="00E2537D"/>
    <w:rsid w:val="00E35A3F"/>
    <w:rsid w:val="00E41D0D"/>
    <w:rsid w:val="00E5668D"/>
    <w:rsid w:val="00E80FEE"/>
    <w:rsid w:val="00E851C4"/>
    <w:rsid w:val="00EC3DC0"/>
    <w:rsid w:val="00EC4D65"/>
    <w:rsid w:val="00EC5039"/>
    <w:rsid w:val="00EC54AD"/>
    <w:rsid w:val="00ED3C7E"/>
    <w:rsid w:val="00ED50C4"/>
    <w:rsid w:val="00EF62AD"/>
    <w:rsid w:val="00F12488"/>
    <w:rsid w:val="00F202AB"/>
    <w:rsid w:val="00F4149B"/>
    <w:rsid w:val="00F53FFD"/>
    <w:rsid w:val="00FD0E69"/>
    <w:rsid w:val="00FE0366"/>
    <w:rsid w:val="00FE32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017956-791F-4C90-BAD5-3A6F2CC2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BodyText"/>
    <w:link w:val="Ttulo2Char"/>
    <w:uiPriority w:val="9"/>
    <w:unhideWhenUsed/>
    <w:qFormat/>
    <w:rsid w:val="008D06EA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96C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character" w:styleId="Strong">
    <w:name w:val="Strong"/>
    <w:basedOn w:val="DefaultParagraphFont"/>
    <w:uiPriority w:val="22"/>
    <w:qFormat/>
    <w:rsid w:val="00766A5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63CBE"/>
    <w:rPr>
      <w:color w:val="0000FF"/>
      <w:u w:val="single"/>
    </w:rPr>
  </w:style>
  <w:style w:type="paragraph" w:customStyle="1" w:styleId="FirstParagraph">
    <w:name w:val="First Paragraph"/>
    <w:basedOn w:val="BodyText"/>
    <w:next w:val="BodyText"/>
    <w:qFormat/>
    <w:rsid w:val="00876CD4"/>
    <w:pPr>
      <w:spacing w:before="180" w:after="180" w:line="240" w:lineRule="auto"/>
      <w:jc w:val="left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Ttulo2Char">
    <w:name w:val="Título 2 Char"/>
    <w:basedOn w:val="DefaultParagraphFont"/>
    <w:link w:val="Heading2"/>
    <w:uiPriority w:val="9"/>
    <w:rsid w:val="008D06EA"/>
    <w:rPr>
      <w:rFonts w:asciiTheme="majorHAnsi" w:eastAsiaTheme="majorEastAsia" w:hAnsiTheme="majorHAnsi" w:cstheme="majorBidi"/>
      <w:b/>
      <w:bCs/>
      <w:color w:val="5B9BD5" w:themeColor="accent1"/>
      <w:sz w:val="28"/>
      <w:szCs w:val="28"/>
      <w:lang w:val="en-US" w:eastAsia="en-US"/>
    </w:rPr>
  </w:style>
  <w:style w:type="paragraph" w:styleId="BlockText">
    <w:name w:val="Block Text"/>
    <w:basedOn w:val="BodyText"/>
    <w:next w:val="BodyText"/>
    <w:uiPriority w:val="9"/>
    <w:unhideWhenUsed/>
    <w:qFormat/>
    <w:rsid w:val="008D06EA"/>
    <w:pPr>
      <w:spacing w:before="100" w:after="100" w:line="240" w:lineRule="auto"/>
      <w:ind w:left="480" w:right="480"/>
      <w:jc w:val="left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96CA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4BEC8-1A00-4901-80C2-B35BAED49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8</Pages>
  <Words>1671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4</cp:revision>
  <cp:lastPrinted>2023-09-06T14:30:00Z</cp:lastPrinted>
  <dcterms:created xsi:type="dcterms:W3CDTF">2026-05-06T14:41:00Z</dcterms:created>
  <dcterms:modified xsi:type="dcterms:W3CDTF">2026-05-07T11:40:00Z</dcterms:modified>
  <dc:language>pt-BR</dc:language>
</cp:coreProperties>
</file>