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2 ao Projeto de Lei Nº 31/2026</w:t>
      </w:r>
      <w:r w:rsidRPr="00465074">
        <w:rPr>
          <w:rFonts w:ascii="Courier New" w:hAnsi="Courier New" w:cs="Courier New"/>
          <w:b/>
          <w:bCs/>
          <w:kern w:val="3"/>
          <w:sz w:val="24"/>
          <w:szCs w:val="24"/>
        </w:rPr>
        <w:t>Emenda Nº 2 ao Projeto de Lei Nº 31/2026</w:t>
      </w:r>
    </w:p>
    <w:p w:rsidR="005C5121" w:rsidP="00010A9F" w14:paraId="77705979" w14:textId="77777777">
      <w:pPr>
        <w:overflowPunct w:val="0"/>
        <w:autoSpaceDN w:val="0"/>
        <w:spacing w:before="120" w:after="120" w:line="276" w:lineRule="auto"/>
        <w:jc w:val="both"/>
        <w:rPr>
          <w:rFonts w:ascii="Courier New" w:hAnsi="Courier New" w:cs="Courier New"/>
          <w:kern w:val="3"/>
          <w:sz w:val="22"/>
          <w:szCs w:val="22"/>
        </w:rPr>
      </w:pP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49DD3515">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 xml:space="preserve">EMENDA </w:t>
      </w:r>
      <w:r w:rsidR="00617E1A">
        <w:rPr>
          <w:rFonts w:ascii="Courier New" w:hAnsi="Courier New" w:cs="Courier New"/>
          <w:i/>
          <w:iCs/>
          <w:kern w:val="3"/>
          <w:sz w:val="22"/>
          <w:szCs w:val="22"/>
        </w:rPr>
        <w:t>ADITIVA</w:t>
      </w:r>
      <w:r w:rsidRPr="00A164B8" w:rsidR="00A164B8">
        <w:rPr>
          <w:rFonts w:ascii="Courier New" w:hAnsi="Courier New" w:cs="Courier New"/>
          <w:i/>
          <w:iCs/>
          <w:kern w:val="3"/>
          <w:sz w:val="22"/>
          <w:szCs w:val="22"/>
        </w:rPr>
        <w:t xml:space="preserve"> AO PROJETO DE LEI Nº </w:t>
      </w:r>
      <w:r w:rsidR="00092EEA">
        <w:rPr>
          <w:rFonts w:ascii="Courier New" w:hAnsi="Courier New" w:cs="Courier New"/>
          <w:i/>
          <w:iCs/>
          <w:kern w:val="3"/>
          <w:sz w:val="22"/>
          <w:szCs w:val="22"/>
        </w:rPr>
        <w:t>31</w:t>
      </w:r>
      <w:r w:rsidRPr="00A164B8" w:rsidR="00A164B8">
        <w:rPr>
          <w:rFonts w:ascii="Courier New" w:hAnsi="Courier New" w:cs="Courier New"/>
          <w:i/>
          <w:iCs/>
          <w:kern w:val="3"/>
          <w:sz w:val="22"/>
          <w:szCs w:val="22"/>
        </w:rPr>
        <w:t>/2026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67663491">
      <w:pPr>
        <w:spacing w:before="120" w:after="120" w:line="276" w:lineRule="auto"/>
        <w:ind w:firstLine="708"/>
        <w:jc w:val="both"/>
        <w:rPr>
          <w:rFonts w:ascii="Courier New" w:hAnsi="Courier New" w:cs="Courier New"/>
          <w:sz w:val="22"/>
          <w:szCs w:val="22"/>
        </w:rPr>
      </w:pPr>
      <w:r>
        <w:rPr>
          <w:rFonts w:ascii="Courier New" w:hAnsi="Courier New" w:cs="Courier New"/>
          <w:sz w:val="22"/>
          <w:szCs w:val="22"/>
        </w:rPr>
        <w:t>Adiciona</w:t>
      </w:r>
      <w:r w:rsidR="000E1F8A">
        <w:rPr>
          <w:rFonts w:ascii="Courier New" w:hAnsi="Courier New" w:cs="Courier New"/>
          <w:sz w:val="22"/>
          <w:szCs w:val="22"/>
        </w:rPr>
        <w:t xml:space="preserve"> o </w:t>
      </w:r>
      <w:r w:rsidRPr="00E144CB" w:rsidR="00E144CB">
        <w:rPr>
          <w:rFonts w:ascii="Courier New" w:hAnsi="Courier New" w:cs="Courier New"/>
          <w:sz w:val="22"/>
          <w:szCs w:val="22"/>
        </w:rPr>
        <w:t xml:space="preserve">Art. </w:t>
      </w:r>
      <w:r w:rsidR="00092EEA">
        <w:rPr>
          <w:rFonts w:ascii="Courier New" w:hAnsi="Courier New" w:cs="Courier New"/>
          <w:sz w:val="22"/>
          <w:szCs w:val="22"/>
        </w:rPr>
        <w:t>5</w:t>
      </w:r>
      <w:r w:rsidRPr="00E144CB" w:rsidR="00E144CB">
        <w:rPr>
          <w:rFonts w:ascii="Courier New" w:hAnsi="Courier New" w:cs="Courier New"/>
          <w:sz w:val="22"/>
          <w:szCs w:val="22"/>
        </w:rPr>
        <w:t xml:space="preserve">º </w:t>
      </w:r>
      <w:r w:rsidR="00092EEA">
        <w:rPr>
          <w:rFonts w:ascii="Courier New" w:hAnsi="Courier New" w:cs="Courier New"/>
          <w:sz w:val="22"/>
          <w:szCs w:val="22"/>
        </w:rPr>
        <w:t>a</w:t>
      </w:r>
      <w:r w:rsidRPr="00E144CB" w:rsidR="00E144CB">
        <w:rPr>
          <w:rFonts w:ascii="Courier New" w:hAnsi="Courier New" w:cs="Courier New"/>
          <w:sz w:val="22"/>
          <w:szCs w:val="22"/>
        </w:rPr>
        <w:t xml:space="preserve">o Projeto de Lei nº </w:t>
      </w:r>
      <w:r w:rsidR="00092EEA">
        <w:rPr>
          <w:rFonts w:ascii="Courier New" w:hAnsi="Courier New" w:cs="Courier New"/>
          <w:sz w:val="22"/>
          <w:szCs w:val="22"/>
        </w:rPr>
        <w:t>31</w:t>
      </w:r>
      <w:r w:rsidRPr="00E144CB" w:rsidR="00E144CB">
        <w:rPr>
          <w:rFonts w:ascii="Courier New" w:hAnsi="Courier New" w:cs="Courier New"/>
          <w:sz w:val="22"/>
          <w:szCs w:val="22"/>
        </w:rPr>
        <w:t xml:space="preserve">/2026, </w:t>
      </w:r>
      <w:r>
        <w:rPr>
          <w:rFonts w:ascii="Courier New" w:hAnsi="Courier New" w:cs="Courier New"/>
          <w:sz w:val="22"/>
          <w:szCs w:val="22"/>
        </w:rPr>
        <w:t>renomeando</w:t>
      </w:r>
      <w:r w:rsidR="00092EEA">
        <w:rPr>
          <w:rFonts w:ascii="Courier New" w:hAnsi="Courier New" w:cs="Courier New"/>
          <w:sz w:val="22"/>
          <w:szCs w:val="22"/>
        </w:rPr>
        <w:t xml:space="preserve">-se os demais, </w:t>
      </w:r>
      <w:r w:rsidR="000E1F8A">
        <w:rPr>
          <w:rFonts w:ascii="Courier New" w:hAnsi="Courier New" w:cs="Courier New"/>
          <w:sz w:val="22"/>
          <w:szCs w:val="22"/>
        </w:rPr>
        <w:t xml:space="preserve">passando a vigorar </w:t>
      </w:r>
      <w:r w:rsidRPr="00E144CB" w:rsidR="00E144CB">
        <w:rPr>
          <w:rFonts w:ascii="Courier New" w:hAnsi="Courier New" w:cs="Courier New"/>
          <w:sz w:val="22"/>
          <w:szCs w:val="22"/>
        </w:rPr>
        <w:t>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AB501C" w:rsidP="00010A9F" w14:paraId="4ACEE127" w14:textId="782CAC52">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092EEA" w:rsidR="00092EEA">
        <w:rPr>
          <w:rFonts w:ascii="Courier New" w:hAnsi="Courier New" w:cs="Courier New"/>
          <w:b/>
          <w:bCs/>
          <w:sz w:val="22"/>
          <w:szCs w:val="22"/>
        </w:rPr>
        <w:t>Art. 5º</w:t>
      </w:r>
      <w:r w:rsidR="00092EEA">
        <w:rPr>
          <w:rFonts w:ascii="Courier New" w:hAnsi="Courier New" w:cs="Courier New"/>
          <w:b/>
          <w:bCs/>
          <w:sz w:val="22"/>
          <w:szCs w:val="22"/>
        </w:rPr>
        <w:t>.</w:t>
      </w:r>
      <w:r w:rsidRPr="00092EEA" w:rsidR="00092EEA">
        <w:rPr>
          <w:rFonts w:ascii="Courier New" w:hAnsi="Courier New" w:cs="Courier New"/>
          <w:sz w:val="22"/>
          <w:szCs w:val="22"/>
        </w:rPr>
        <w:t xml:space="preserve"> Os instrumentos contratuais de alienação e incorporação celebrados com base nesta Lei conterão, obrigatoriamente, cláusula de reversão do imóvel ao patrimônio municipal, de pleno direito e sem ônus par</w:t>
      </w:r>
      <w:r w:rsidRPr="00A5470B" w:rsidR="00092EEA">
        <w:rPr>
          <w:rFonts w:ascii="Courier New" w:hAnsi="Courier New" w:cs="Courier New"/>
          <w:sz w:val="22"/>
          <w:szCs w:val="22"/>
        </w:rPr>
        <w:t xml:space="preserve">a o erário, caso </w:t>
      </w:r>
      <w:r w:rsidRPr="00A5470B" w:rsidR="00A5470B">
        <w:rPr>
          <w:rFonts w:ascii="Courier New" w:hAnsi="Courier New" w:cs="Courier New"/>
          <w:sz w:val="22"/>
          <w:szCs w:val="22"/>
        </w:rPr>
        <w:t xml:space="preserve">o adquirente descumpra </w:t>
      </w:r>
      <w:r w:rsidR="00507BC0">
        <w:rPr>
          <w:rFonts w:ascii="Courier New" w:hAnsi="Courier New" w:cs="Courier New"/>
          <w:sz w:val="22"/>
          <w:szCs w:val="22"/>
        </w:rPr>
        <w:t xml:space="preserve">os prazos estabelecidos pelo Executivo e/ou </w:t>
      </w:r>
      <w:r w:rsidRPr="00092EEA" w:rsidR="00092EEA">
        <w:rPr>
          <w:rFonts w:ascii="Courier New" w:hAnsi="Courier New" w:cs="Courier New"/>
          <w:sz w:val="22"/>
          <w:szCs w:val="22"/>
        </w:rPr>
        <w:t>desvie a finalidade social do empreendimento estabelecida nesta Lei.</w:t>
      </w:r>
      <w:r w:rsidRPr="003C0F80">
        <w:rPr>
          <w:rFonts w:ascii="Courier New" w:hAnsi="Courier New" w:cs="Courier New"/>
          <w:sz w:val="22"/>
          <w:szCs w:val="22"/>
        </w:rPr>
        <w:t>”</w:t>
      </w:r>
    </w:p>
    <w:p w:rsidR="00E079A8" w:rsidP="00010A9F" w14:paraId="73D44D49" w14:textId="77777777">
      <w:pPr>
        <w:spacing w:before="120" w:after="120" w:line="276" w:lineRule="auto"/>
        <w:jc w:val="both"/>
        <w:rPr>
          <w:rFonts w:ascii="Courier New" w:hAnsi="Courier New" w:cs="Courier New"/>
          <w:sz w:val="22"/>
          <w:szCs w:val="22"/>
        </w:rPr>
      </w:pP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3D1A51B8">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8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D1A0E" w:rsidP="00010A9F" w14:paraId="745F6277" w14:textId="77777777">
      <w:pPr>
        <w:spacing w:before="120" w:after="120" w:line="276" w:lineRule="auto"/>
        <w:jc w:val="center"/>
        <w:rPr>
          <w:rFonts w:ascii="Courier New" w:hAnsi="Courier New" w:cs="Courier New"/>
          <w:b/>
          <w:bCs/>
          <w:sz w:val="22"/>
          <w:szCs w:val="22"/>
        </w:rPr>
      </w:pP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55295"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EB7E2C" w:rsidP="00EB7E2C" w14:paraId="38046B2C" w14:textId="77777777">
      <w:pPr>
        <w:spacing w:before="120" w:after="120" w:line="276" w:lineRule="auto"/>
        <w:ind w:firstLine="567"/>
        <w:jc w:val="both"/>
        <w:rPr>
          <w:rFonts w:ascii="Courier New" w:hAnsi="Courier New" w:cs="Courier New"/>
          <w:sz w:val="22"/>
          <w:szCs w:val="22"/>
        </w:rPr>
      </w:pPr>
      <w:r w:rsidRPr="00C2535C">
        <w:rPr>
          <w:rFonts w:ascii="Courier New" w:hAnsi="Courier New" w:cs="Courier New"/>
          <w:sz w:val="22"/>
          <w:szCs w:val="22"/>
        </w:rPr>
        <w:t xml:space="preserve">A presente proposta de emenda aditiva encontra sua viga mestra no </w:t>
      </w:r>
      <w:r w:rsidRPr="00C2535C">
        <w:rPr>
          <w:rFonts w:ascii="Courier New" w:hAnsi="Courier New" w:cs="Courier New"/>
          <w:b/>
          <w:bCs/>
          <w:sz w:val="22"/>
          <w:szCs w:val="22"/>
        </w:rPr>
        <w:t>Princípio da Função Social da Propriedade</w:t>
      </w:r>
      <w:r w:rsidRPr="00C2535C">
        <w:rPr>
          <w:rFonts w:ascii="Courier New" w:hAnsi="Courier New" w:cs="Courier New"/>
          <w:sz w:val="22"/>
          <w:szCs w:val="22"/>
        </w:rPr>
        <w:t>, esculpido no artigo 5º, inciso XXIII, da Constituição Federal, o qual impõe que o domínio sobre o bem não é absoluto, mas condicionado ao atendimento das necessidades coletivas e ao bem-estar social</w:t>
      </w:r>
      <w:r>
        <w:rPr>
          <w:rFonts w:ascii="Courier New" w:hAnsi="Courier New" w:cs="Courier New"/>
          <w:sz w:val="22"/>
          <w:szCs w:val="22"/>
        </w:rPr>
        <w:t>:</w:t>
      </w:r>
    </w:p>
    <w:p w:rsidR="00EB7E2C" w:rsidP="00EB7E2C" w14:paraId="1C904B22" w14:textId="77777777">
      <w:pPr>
        <w:spacing w:before="120" w:after="120" w:line="276" w:lineRule="auto"/>
        <w:ind w:firstLine="567"/>
        <w:jc w:val="both"/>
        <w:rPr>
          <w:rFonts w:ascii="Courier New" w:hAnsi="Courier New" w:cs="Courier New"/>
          <w:sz w:val="22"/>
          <w:szCs w:val="22"/>
        </w:rPr>
      </w:pPr>
    </w:p>
    <w:p w:rsidR="00EB7E2C" w:rsidP="00FF0768" w14:paraId="669F0A27" w14:textId="77777777">
      <w:pPr>
        <w:pBdr>
          <w:left w:val="single" w:sz="4" w:space="4" w:color="auto"/>
          <w:right w:val="single" w:sz="4" w:space="4" w:color="auto"/>
        </w:pBdr>
        <w:ind w:left="1701"/>
        <w:jc w:val="both"/>
        <w:rPr>
          <w:rFonts w:ascii="Courier New" w:hAnsi="Courier New" w:cs="Courier New"/>
        </w:rPr>
      </w:pPr>
      <w:r w:rsidRPr="00C2535C">
        <w:rPr>
          <w:rFonts w:ascii="Courier New" w:hAnsi="Courier New" w:cs="Courier New"/>
          <w:b/>
          <w:bCs/>
        </w:rPr>
        <w:t>Art. 5º</w:t>
      </w:r>
      <w:r w:rsidRPr="00C2535C">
        <w:rPr>
          <w:rFonts w:ascii="Courier New" w:hAnsi="Courier New" w:cs="Courier New"/>
        </w:rPr>
        <w:t xml:space="preserve"> Todos são iguais perante a lei, sem distinção de qualquer natureza, garantindo-se aos brasileiros e aos estrangeiros residentes no País a inviolabilidade do direito à vida, à liberdade, à igualdade, à segurança e à propriedade, nos termos seguintes:</w:t>
      </w:r>
      <w:r>
        <w:rPr>
          <w:rFonts w:ascii="Courier New" w:hAnsi="Courier New" w:cs="Courier New"/>
        </w:rPr>
        <w:t xml:space="preserve"> [...]</w:t>
      </w:r>
    </w:p>
    <w:p w:rsidR="00EB7E2C" w:rsidP="00FF0768" w14:paraId="7E5559D9" w14:textId="77777777">
      <w:pPr>
        <w:pBdr>
          <w:left w:val="single" w:sz="4" w:space="4" w:color="auto"/>
          <w:right w:val="single" w:sz="4" w:space="4" w:color="auto"/>
        </w:pBdr>
        <w:ind w:left="1701"/>
        <w:jc w:val="both"/>
        <w:rPr>
          <w:rFonts w:ascii="Courier New" w:hAnsi="Courier New" w:cs="Courier New"/>
        </w:rPr>
      </w:pPr>
      <w:r w:rsidRPr="00C2535C">
        <w:rPr>
          <w:rFonts w:ascii="Courier New" w:hAnsi="Courier New" w:cs="Courier New"/>
          <w:b/>
          <w:bCs/>
        </w:rPr>
        <w:t>XXIII -</w:t>
      </w:r>
      <w:r w:rsidRPr="00C2535C">
        <w:rPr>
          <w:rFonts w:ascii="Courier New" w:hAnsi="Courier New" w:cs="Courier New"/>
        </w:rPr>
        <w:t xml:space="preserve"> a propriedade atenderá a sua função social;</w:t>
      </w:r>
    </w:p>
    <w:p w:rsidR="00EB7E2C" w:rsidP="00EB7E2C" w14:paraId="2B64D850" w14:textId="77777777">
      <w:pPr>
        <w:spacing w:before="120" w:after="120" w:line="276" w:lineRule="auto"/>
        <w:ind w:firstLine="567"/>
        <w:jc w:val="both"/>
        <w:rPr>
          <w:rFonts w:ascii="Courier New" w:hAnsi="Courier New" w:cs="Courier New"/>
          <w:sz w:val="22"/>
          <w:szCs w:val="22"/>
        </w:rPr>
      </w:pPr>
    </w:p>
    <w:p w:rsidR="00EB7E2C" w:rsidP="00EB7E2C" w14:paraId="2A850D04" w14:textId="4E764E52">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Tem-se que a</w:t>
      </w:r>
      <w:r w:rsidRPr="00C2535C">
        <w:rPr>
          <w:rFonts w:ascii="Courier New" w:hAnsi="Courier New" w:cs="Courier New"/>
          <w:sz w:val="22"/>
          <w:szCs w:val="22"/>
        </w:rPr>
        <w:t xml:space="preserve">o instituir a cláusula de reversão, o legislador atende ao </w:t>
      </w:r>
      <w:r w:rsidRPr="00C2535C">
        <w:rPr>
          <w:rFonts w:ascii="Courier New" w:hAnsi="Courier New" w:cs="Courier New"/>
          <w:b/>
          <w:bCs/>
          <w:sz w:val="22"/>
          <w:szCs w:val="22"/>
        </w:rPr>
        <w:t>Princípio da Indisponibilidade do Interesse Público</w:t>
      </w:r>
      <w:r w:rsidRPr="00C2535C">
        <w:rPr>
          <w:rFonts w:ascii="Courier New" w:hAnsi="Courier New" w:cs="Courier New"/>
          <w:sz w:val="22"/>
          <w:szCs w:val="22"/>
        </w:rPr>
        <w:t xml:space="preserve">, impedindo que o patrimônio comum seja desviado de sua finalidade precípua ou submetido à inércia da especulação imobiliária, sob o império do brocardo </w:t>
      </w:r>
      <w:r w:rsidRPr="00C2535C">
        <w:rPr>
          <w:rFonts w:ascii="Courier New" w:hAnsi="Courier New" w:cs="Courier New"/>
          <w:i/>
          <w:iCs/>
          <w:sz w:val="22"/>
          <w:szCs w:val="22"/>
        </w:rPr>
        <w:t>utilitas</w:t>
      </w:r>
      <w:r w:rsidRPr="00C2535C">
        <w:rPr>
          <w:rFonts w:ascii="Courier New" w:hAnsi="Courier New" w:cs="Courier New"/>
          <w:i/>
          <w:iCs/>
          <w:sz w:val="22"/>
          <w:szCs w:val="22"/>
        </w:rPr>
        <w:t xml:space="preserve"> publica </w:t>
      </w:r>
      <w:r w:rsidRPr="00C2535C">
        <w:rPr>
          <w:rFonts w:ascii="Courier New" w:hAnsi="Courier New" w:cs="Courier New"/>
          <w:i/>
          <w:iCs/>
          <w:sz w:val="22"/>
          <w:szCs w:val="22"/>
        </w:rPr>
        <w:t>praeferenda</w:t>
      </w:r>
      <w:r w:rsidRPr="00C2535C">
        <w:rPr>
          <w:rFonts w:ascii="Courier New" w:hAnsi="Courier New" w:cs="Courier New"/>
          <w:i/>
          <w:iCs/>
          <w:sz w:val="22"/>
          <w:szCs w:val="22"/>
        </w:rPr>
        <w:t xml:space="preserve"> est </w:t>
      </w:r>
      <w:r w:rsidRPr="00C2535C">
        <w:rPr>
          <w:rFonts w:ascii="Courier New" w:hAnsi="Courier New" w:cs="Courier New"/>
          <w:i/>
          <w:iCs/>
          <w:sz w:val="22"/>
          <w:szCs w:val="22"/>
        </w:rPr>
        <w:t>privatae</w:t>
      </w:r>
      <w:r w:rsidRPr="00C2535C">
        <w:rPr>
          <w:rFonts w:ascii="Courier New" w:hAnsi="Courier New" w:cs="Courier New"/>
          <w:sz w:val="22"/>
          <w:szCs w:val="22"/>
        </w:rPr>
        <w:t xml:space="preserve"> — a utilidade pública deve preferir à particular.</w:t>
      </w:r>
    </w:p>
    <w:p w:rsidR="00EB7E2C" w:rsidP="00EB7E2C" w14:paraId="1D887753" w14:textId="5059A032">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Observa-se que a</w:t>
      </w:r>
      <w:r w:rsidRPr="00C2535C">
        <w:rPr>
          <w:rFonts w:ascii="Courier New" w:hAnsi="Courier New" w:cs="Courier New"/>
          <w:sz w:val="22"/>
          <w:szCs w:val="22"/>
        </w:rPr>
        <w:t xml:space="preserve"> fixação de prazos peremptórios para o início e conclusão das obras materializa o </w:t>
      </w:r>
      <w:r w:rsidRPr="00C2535C">
        <w:rPr>
          <w:rFonts w:ascii="Courier New" w:hAnsi="Courier New" w:cs="Courier New"/>
          <w:b/>
          <w:bCs/>
          <w:sz w:val="22"/>
          <w:szCs w:val="22"/>
        </w:rPr>
        <w:t>Princípio da Eficiência</w:t>
      </w:r>
      <w:r w:rsidRPr="00C2535C">
        <w:rPr>
          <w:rFonts w:ascii="Courier New" w:hAnsi="Courier New" w:cs="Courier New"/>
          <w:sz w:val="22"/>
          <w:szCs w:val="22"/>
        </w:rPr>
        <w:t xml:space="preserve"> administrativa, previsto no artigo 37, </w:t>
      </w:r>
      <w:r w:rsidRPr="00C2535C">
        <w:rPr>
          <w:rFonts w:ascii="Courier New" w:hAnsi="Courier New" w:cs="Courier New"/>
          <w:i/>
          <w:iCs/>
          <w:sz w:val="22"/>
          <w:szCs w:val="22"/>
        </w:rPr>
        <w:t>caput</w:t>
      </w:r>
      <w:r w:rsidRPr="00C2535C">
        <w:rPr>
          <w:rFonts w:ascii="Courier New" w:hAnsi="Courier New" w:cs="Courier New"/>
          <w:sz w:val="22"/>
          <w:szCs w:val="22"/>
        </w:rPr>
        <w:t>, da Carta Magna, garantindo que o Poder Público não se despoje de seus ativos sem a devida e célere contrapartida social</w:t>
      </w:r>
      <w:r>
        <w:rPr>
          <w:rFonts w:ascii="Courier New" w:hAnsi="Courier New" w:cs="Courier New"/>
          <w:sz w:val="22"/>
          <w:szCs w:val="22"/>
        </w:rPr>
        <w:t>:</w:t>
      </w:r>
    </w:p>
    <w:p w:rsidR="00EB7E2C" w:rsidP="00EB7E2C" w14:paraId="68E627BC" w14:textId="77777777">
      <w:pPr>
        <w:spacing w:before="120" w:after="120" w:line="276" w:lineRule="auto"/>
        <w:ind w:firstLine="567"/>
        <w:jc w:val="both"/>
        <w:rPr>
          <w:rFonts w:ascii="Courier New" w:hAnsi="Courier New" w:cs="Courier New"/>
          <w:sz w:val="22"/>
          <w:szCs w:val="22"/>
        </w:rPr>
      </w:pPr>
    </w:p>
    <w:p w:rsidR="00EB7E2C" w:rsidP="00FF0768" w14:paraId="2AAEBF92" w14:textId="3EAD8960">
      <w:pPr>
        <w:pBdr>
          <w:left w:val="single" w:sz="4" w:space="4" w:color="auto"/>
          <w:right w:val="single" w:sz="4" w:space="4" w:color="auto"/>
        </w:pBdr>
        <w:ind w:left="1701"/>
        <w:jc w:val="both"/>
        <w:rPr>
          <w:rFonts w:ascii="Courier New" w:hAnsi="Courier New" w:cs="Courier New"/>
        </w:rPr>
      </w:pPr>
      <w:r w:rsidRPr="00EB7E2C">
        <w:rPr>
          <w:rFonts w:ascii="Courier New" w:hAnsi="Courier New" w:cs="Courier New"/>
          <w:b/>
          <w:bCs/>
        </w:rPr>
        <w:t>Art. 37.</w:t>
      </w:r>
      <w:r w:rsidRPr="00EB7E2C">
        <w:rPr>
          <w:rFonts w:ascii="Courier New" w:hAnsi="Courier New" w:cs="Courier New"/>
        </w:rPr>
        <w:t xml:space="preserve"> A administração pública direta e indireta de qualquer dos Poderes da União, dos Estados, do Distrito Federal e dos Municípios obedecerá aos princípios de legalidade, impessoalidade, moralidade, publicidade e eficiência </w:t>
      </w:r>
      <w:r>
        <w:rPr>
          <w:rFonts w:ascii="Courier New" w:hAnsi="Courier New" w:cs="Courier New"/>
        </w:rPr>
        <w:t>[...]</w:t>
      </w:r>
    </w:p>
    <w:p w:rsidR="00EB7E2C" w:rsidP="00EB7E2C" w14:paraId="7259A67E" w14:textId="77777777">
      <w:pPr>
        <w:spacing w:before="120" w:after="120" w:line="276" w:lineRule="auto"/>
        <w:ind w:firstLine="567"/>
        <w:jc w:val="both"/>
        <w:rPr>
          <w:rFonts w:ascii="Courier New" w:hAnsi="Courier New" w:cs="Courier New"/>
          <w:sz w:val="22"/>
          <w:szCs w:val="22"/>
        </w:rPr>
      </w:pPr>
    </w:p>
    <w:p w:rsidR="00EB7E2C" w:rsidP="00EB7E2C" w14:paraId="438FA701" w14:textId="77777777">
      <w:pPr>
        <w:spacing w:before="120" w:after="120" w:line="276" w:lineRule="auto"/>
        <w:ind w:firstLine="567"/>
        <w:jc w:val="both"/>
        <w:rPr>
          <w:rFonts w:ascii="Courier New" w:hAnsi="Courier New" w:cs="Courier New"/>
          <w:sz w:val="22"/>
          <w:szCs w:val="22"/>
        </w:rPr>
      </w:pPr>
      <w:r w:rsidRPr="00C2535C">
        <w:rPr>
          <w:rFonts w:ascii="Courier New" w:hAnsi="Courier New" w:cs="Courier New"/>
          <w:sz w:val="22"/>
          <w:szCs w:val="22"/>
        </w:rPr>
        <w:t xml:space="preserve">Ademais, a medida encontra amparo no </w:t>
      </w:r>
      <w:r w:rsidRPr="00C2535C">
        <w:rPr>
          <w:rFonts w:ascii="Courier New" w:hAnsi="Courier New" w:cs="Courier New"/>
          <w:b/>
          <w:bCs/>
          <w:sz w:val="22"/>
          <w:szCs w:val="22"/>
        </w:rPr>
        <w:t>Princípio da Moralidade Administrativa</w:t>
      </w:r>
      <w:r w:rsidRPr="00C2535C">
        <w:rPr>
          <w:rFonts w:ascii="Courier New" w:hAnsi="Courier New" w:cs="Courier New"/>
          <w:sz w:val="22"/>
          <w:szCs w:val="22"/>
        </w:rPr>
        <w:t>, pois evita o enriquecimento sem causa do particular em detrimento do erário, operando-se a resolução contratual de pleno direito em caso de inadimplemento das condições impostas.</w:t>
      </w:r>
    </w:p>
    <w:p w:rsidR="00EB7E2C" w:rsidP="00EB7E2C" w14:paraId="56CB3FEA" w14:textId="3F3A3FD2">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Então, a</w:t>
      </w:r>
      <w:r w:rsidRPr="00C2535C">
        <w:rPr>
          <w:rFonts w:ascii="Courier New" w:hAnsi="Courier New" w:cs="Courier New"/>
          <w:sz w:val="22"/>
          <w:szCs w:val="22"/>
        </w:rPr>
        <w:t xml:space="preserve"> reversão, enquanto condição resolutiva expressa, assegura que o imóvel retorne ao </w:t>
      </w:r>
      <w:r w:rsidRPr="00C2535C">
        <w:rPr>
          <w:rFonts w:ascii="Courier New" w:hAnsi="Courier New" w:cs="Courier New"/>
          <w:i/>
          <w:iCs/>
          <w:sz w:val="22"/>
          <w:szCs w:val="22"/>
        </w:rPr>
        <w:t>status quo ante</w:t>
      </w:r>
      <w:r w:rsidRPr="00C2535C">
        <w:rPr>
          <w:rFonts w:ascii="Courier New" w:hAnsi="Courier New" w:cs="Courier New"/>
          <w:sz w:val="22"/>
          <w:szCs w:val="22"/>
        </w:rPr>
        <w:t xml:space="preserve"> caso a finalidade social seja maculada, em estrita observância ao </w:t>
      </w:r>
      <w:r w:rsidRPr="00C2535C">
        <w:rPr>
          <w:rFonts w:ascii="Courier New" w:hAnsi="Courier New" w:cs="Courier New"/>
          <w:b/>
          <w:bCs/>
          <w:sz w:val="22"/>
          <w:szCs w:val="22"/>
        </w:rPr>
        <w:t>Princípio da Supremacia do Interesse Público</w:t>
      </w:r>
      <w:r w:rsidRPr="00C2535C">
        <w:rPr>
          <w:rFonts w:ascii="Courier New" w:hAnsi="Courier New" w:cs="Courier New"/>
          <w:sz w:val="22"/>
          <w:szCs w:val="22"/>
        </w:rPr>
        <w:t xml:space="preserve"> e ao dever de cautela na gestão dos bens dominicais, sendo imperativo que o adquirente cumpra o encargo sob pena de desfazimento do negócio jurídico, pois </w:t>
      </w:r>
      <w:r w:rsidRPr="00C2535C">
        <w:rPr>
          <w:rFonts w:ascii="Courier New" w:hAnsi="Courier New" w:cs="Courier New"/>
          <w:i/>
          <w:iCs/>
          <w:sz w:val="22"/>
          <w:szCs w:val="22"/>
        </w:rPr>
        <w:t>pacta sunt servanda</w:t>
      </w:r>
      <w:r w:rsidRPr="00C2535C">
        <w:rPr>
          <w:rFonts w:ascii="Courier New" w:hAnsi="Courier New" w:cs="Courier New"/>
          <w:sz w:val="22"/>
          <w:szCs w:val="22"/>
        </w:rPr>
        <w:t xml:space="preserve"> no âmbito administrativo exige a estrita observância das cláusulas de interesse social.</w:t>
      </w:r>
    </w:p>
    <w:p w:rsidR="00FF0768" w:rsidP="00FF0768" w14:paraId="359B98E4" w14:textId="042688BA">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No que concerne à v</w:t>
      </w:r>
      <w:r w:rsidRPr="00FF0768">
        <w:rPr>
          <w:rFonts w:ascii="Courier New" w:hAnsi="Courier New" w:cs="Courier New"/>
          <w:sz w:val="22"/>
          <w:szCs w:val="22"/>
        </w:rPr>
        <w:t xml:space="preserve">alidade da Cláusula de Reversão em </w:t>
      </w:r>
      <w:r>
        <w:rPr>
          <w:rFonts w:ascii="Courier New" w:hAnsi="Courier New" w:cs="Courier New"/>
          <w:sz w:val="22"/>
          <w:szCs w:val="22"/>
        </w:rPr>
        <w:t>v</w:t>
      </w:r>
      <w:r w:rsidRPr="00FF0768">
        <w:rPr>
          <w:rFonts w:ascii="Courier New" w:hAnsi="Courier New" w:cs="Courier New"/>
          <w:sz w:val="22"/>
          <w:szCs w:val="22"/>
        </w:rPr>
        <w:t xml:space="preserve">enda de </w:t>
      </w:r>
      <w:r>
        <w:rPr>
          <w:rFonts w:ascii="Courier New" w:hAnsi="Courier New" w:cs="Courier New"/>
          <w:sz w:val="22"/>
          <w:szCs w:val="22"/>
        </w:rPr>
        <w:t>i</w:t>
      </w:r>
      <w:r w:rsidRPr="00FF0768">
        <w:rPr>
          <w:rFonts w:ascii="Courier New" w:hAnsi="Courier New" w:cs="Courier New"/>
          <w:sz w:val="22"/>
          <w:szCs w:val="22"/>
        </w:rPr>
        <w:t xml:space="preserve">móvel </w:t>
      </w:r>
      <w:r>
        <w:rPr>
          <w:rFonts w:ascii="Courier New" w:hAnsi="Courier New" w:cs="Courier New"/>
          <w:sz w:val="22"/>
          <w:szCs w:val="22"/>
        </w:rPr>
        <w:t>p</w:t>
      </w:r>
      <w:r w:rsidRPr="00FF0768">
        <w:rPr>
          <w:rFonts w:ascii="Courier New" w:hAnsi="Courier New" w:cs="Courier New"/>
          <w:sz w:val="22"/>
          <w:szCs w:val="22"/>
        </w:rPr>
        <w:t>úblico</w:t>
      </w:r>
      <w:r>
        <w:rPr>
          <w:rFonts w:ascii="Courier New" w:hAnsi="Courier New" w:cs="Courier New"/>
          <w:sz w:val="22"/>
          <w:szCs w:val="22"/>
        </w:rPr>
        <w:t>, o</w:t>
      </w:r>
      <w:r w:rsidRPr="00FF0768">
        <w:rPr>
          <w:rFonts w:ascii="Courier New" w:hAnsi="Courier New" w:cs="Courier New"/>
          <w:sz w:val="22"/>
          <w:szCs w:val="22"/>
        </w:rPr>
        <w:t xml:space="preserve"> Tribunal de Justiça do Paraná reconheceu a legalidade da cláusula de reversão em contratos de compra e venda de imóveis públicos subsidiados, fundamentando-se na Supremacia do Interesse Público e na prerrogativa da Administração de prever cláusulas exorbitantes para garantir a instalação de complexos industriais e a geração de empregos</w:t>
      </w:r>
      <w:r>
        <w:rPr>
          <w:rFonts w:ascii="Courier New" w:hAnsi="Courier New" w:cs="Courier New"/>
          <w:sz w:val="22"/>
          <w:szCs w:val="22"/>
        </w:rPr>
        <w:t>:</w:t>
      </w:r>
    </w:p>
    <w:p w:rsidR="00FF0768" w:rsidP="00FF0768" w14:paraId="556E8FB2" w14:textId="77777777">
      <w:pPr>
        <w:spacing w:before="120" w:after="120" w:line="276" w:lineRule="auto"/>
        <w:ind w:firstLine="567"/>
        <w:jc w:val="both"/>
        <w:rPr>
          <w:rFonts w:ascii="Courier New" w:hAnsi="Courier New" w:cs="Courier New"/>
          <w:sz w:val="22"/>
          <w:szCs w:val="22"/>
        </w:rPr>
      </w:pPr>
    </w:p>
    <w:p w:rsidR="00FF0768" w:rsidRPr="00092EEA" w:rsidP="00FF0768" w14:paraId="0C125FB6" w14:textId="5BD7C97E">
      <w:pPr>
        <w:pBdr>
          <w:left w:val="single" w:sz="4" w:space="4" w:color="auto"/>
          <w:right w:val="single" w:sz="4" w:space="4" w:color="auto"/>
        </w:pBdr>
        <w:ind w:left="1701"/>
        <w:jc w:val="both"/>
        <w:rPr>
          <w:rFonts w:ascii="Courier New" w:hAnsi="Courier New" w:cs="Courier New"/>
        </w:rPr>
      </w:pPr>
      <w:r w:rsidRPr="00FF0768">
        <w:rPr>
          <w:rFonts w:ascii="Courier New" w:hAnsi="Courier New" w:cs="Courier New"/>
        </w:rPr>
        <w:t>APELAÇÃO CÍVEL – AÇÃO REVOCATÓRIA DE VENDA DE IMÓVEL PÚBLICO C/C COM REVERSÃO AO PATRIMÔNIO MUNICIPAL – PEDIDO DE REVOGAÇÃO/RESCISÃO DA COMPRA E VENDA COM ENCARGO – SENTENÇA DE PROCEDÊNCIA – INSURGÊNCIA DA RÉ – LOTES VENDIDOS E SUBSIDIADOS PELO MUNICÍPIO DE PIÊN PARA A IMPLANTAÇÃO DE COMPLEXO INDUSTRIAL – DESCUMPRIMENTO, PELA ADQUIRENTE, DO ENCARGO DE CRIAÇÃO DE 20 VAGAS DE EMPREGO DIRETO NO 5º ANO DE INSTALAÇÃO DA EMPRESA – CLÁUSULA DE REVERSÃO PREVISTA NA LEI MUNICIPAL Nº 1.246/2015, NO EDITAL DA CONCORRÊNCIA Nº 003/2016, E NA ESCRITURA PÚBLICA DE COMPRA E VENDA – ALEGAÇÃO DE INCONSTITUCIONALIDADE DOS §§ 3º E 4º, DA LEI MUNICIPAL Nº 1.246/2015 – AFASTADA – GARANTE-SE À ADMINISTRAÇÃO PÚBLICA A PRERROGATIVA DE PREVER CLÁUSULAS EXORBITANTES NOS CONTRATOS ADMINISTRATIVOS – HIPÓTESE DOS AUTOS – RECONHECIMENTO DA LEGALIDADE DA CLÁUSULA DE REVERSÃO E DA RETENÇÃO DAS BENFEITORIAS – SUPREMACIA DO INTERESSE PÚBLICO SOBRE O PRIVADO – PRECEDENTES DESTE TRIBUNAL – SENTENÇA MANTIDA – RECURSO CONHECIDO E DESPROVIDO.</w:t>
      </w:r>
      <w:r>
        <w:rPr>
          <w:rFonts w:ascii="Courier New" w:hAnsi="Courier New" w:cs="Courier New"/>
        </w:rPr>
        <w:t xml:space="preserve"> </w:t>
      </w:r>
      <w:r w:rsidRPr="00FF0768">
        <w:rPr>
          <w:rFonts w:ascii="Courier New" w:hAnsi="Courier New" w:cs="Courier New"/>
        </w:rPr>
        <w:t>(TJ-PR 00011501320218160146 Rio Negro, Relator: Renato Braga Bettega, Data de Julgamento: 31/07/2023, 5ª Câmara Cível, Data de Publicação: 02/08/2023)</w:t>
      </w:r>
    </w:p>
    <w:p w:rsidR="00FF0768" w:rsidRPr="00995807" w:rsidP="00FF0768" w14:paraId="37EE8463" w14:textId="77777777">
      <w:pPr>
        <w:spacing w:before="120" w:after="120" w:line="276" w:lineRule="auto"/>
        <w:ind w:firstLine="567"/>
        <w:jc w:val="both"/>
        <w:rPr>
          <w:rFonts w:ascii="Courier New" w:hAnsi="Courier New" w:cs="Courier New"/>
          <w:sz w:val="22"/>
          <w:szCs w:val="22"/>
        </w:rPr>
      </w:pPr>
    </w:p>
    <w:p w:rsidR="00FF0768" w:rsidP="00FF0768" w14:paraId="3C5C290B" w14:textId="7918296B">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Ainda, quanto a r</w:t>
      </w:r>
      <w:r w:rsidRPr="00FF0768">
        <w:rPr>
          <w:rFonts w:ascii="Courier New" w:hAnsi="Courier New" w:cs="Courier New"/>
          <w:sz w:val="22"/>
          <w:szCs w:val="22"/>
        </w:rPr>
        <w:t xml:space="preserve">eversão por </w:t>
      </w:r>
      <w:r>
        <w:rPr>
          <w:rFonts w:ascii="Courier New" w:hAnsi="Courier New" w:cs="Courier New"/>
          <w:sz w:val="22"/>
          <w:szCs w:val="22"/>
        </w:rPr>
        <w:t>d</w:t>
      </w:r>
      <w:r w:rsidRPr="00FF0768">
        <w:rPr>
          <w:rFonts w:ascii="Courier New" w:hAnsi="Courier New" w:cs="Courier New"/>
          <w:sz w:val="22"/>
          <w:szCs w:val="22"/>
        </w:rPr>
        <w:t xml:space="preserve">escumprimento de </w:t>
      </w:r>
      <w:r>
        <w:rPr>
          <w:rFonts w:ascii="Courier New" w:hAnsi="Courier New" w:cs="Courier New"/>
          <w:sz w:val="22"/>
          <w:szCs w:val="22"/>
        </w:rPr>
        <w:t>p</w:t>
      </w:r>
      <w:r w:rsidRPr="00FF0768">
        <w:rPr>
          <w:rFonts w:ascii="Courier New" w:hAnsi="Courier New" w:cs="Courier New"/>
          <w:sz w:val="22"/>
          <w:szCs w:val="22"/>
        </w:rPr>
        <w:t xml:space="preserve">razos e </w:t>
      </w:r>
      <w:r>
        <w:rPr>
          <w:rFonts w:ascii="Courier New" w:hAnsi="Courier New" w:cs="Courier New"/>
          <w:sz w:val="22"/>
          <w:szCs w:val="22"/>
        </w:rPr>
        <w:t>e</w:t>
      </w:r>
      <w:r w:rsidRPr="00FF0768">
        <w:rPr>
          <w:rFonts w:ascii="Courier New" w:hAnsi="Courier New" w:cs="Courier New"/>
          <w:sz w:val="22"/>
          <w:szCs w:val="22"/>
        </w:rPr>
        <w:t>ncargos</w:t>
      </w:r>
      <w:r>
        <w:rPr>
          <w:rFonts w:ascii="Courier New" w:hAnsi="Courier New" w:cs="Courier New"/>
          <w:sz w:val="22"/>
          <w:szCs w:val="22"/>
        </w:rPr>
        <w:t>, o</w:t>
      </w:r>
      <w:r w:rsidRPr="00FF0768">
        <w:rPr>
          <w:rFonts w:ascii="Courier New" w:hAnsi="Courier New" w:cs="Courier New"/>
          <w:sz w:val="22"/>
          <w:szCs w:val="22"/>
        </w:rPr>
        <w:t xml:space="preserve"> Tribunal de Justiça de Minas Gerais validou a reversão de imóvel ao patrimônio público quando demonstrado o descumprimento dos prazos e condições livremente pactuados, ressaltando que a finalidade do ato administrativo deve ser preservada</w:t>
      </w:r>
      <w:r>
        <w:rPr>
          <w:rFonts w:ascii="Courier New" w:hAnsi="Courier New" w:cs="Courier New"/>
          <w:sz w:val="22"/>
          <w:szCs w:val="22"/>
        </w:rPr>
        <w:t>:</w:t>
      </w:r>
    </w:p>
    <w:p w:rsidR="00FF0768" w:rsidP="00FF0768" w14:paraId="19C7301E" w14:textId="77777777">
      <w:pPr>
        <w:spacing w:before="120" w:after="120" w:line="276" w:lineRule="auto"/>
        <w:ind w:firstLine="567"/>
        <w:jc w:val="both"/>
        <w:rPr>
          <w:rFonts w:ascii="Courier New" w:hAnsi="Courier New" w:cs="Courier New"/>
          <w:sz w:val="22"/>
          <w:szCs w:val="22"/>
        </w:rPr>
      </w:pPr>
    </w:p>
    <w:p w:rsidR="00FF0768" w:rsidRPr="00092EEA" w:rsidP="00FF0768" w14:paraId="6B6B1BBB" w14:textId="6F4C8119">
      <w:pPr>
        <w:pBdr>
          <w:left w:val="single" w:sz="4" w:space="4" w:color="auto"/>
          <w:right w:val="single" w:sz="4" w:space="4" w:color="auto"/>
        </w:pBdr>
        <w:ind w:left="1701"/>
        <w:jc w:val="both"/>
        <w:rPr>
          <w:rFonts w:ascii="Courier New" w:hAnsi="Courier New" w:cs="Courier New"/>
        </w:rPr>
      </w:pPr>
      <w:r w:rsidRPr="00FF0768">
        <w:rPr>
          <w:rFonts w:ascii="Courier New" w:hAnsi="Courier New" w:cs="Courier New"/>
        </w:rPr>
        <w:t xml:space="preserve">APELAÇÃO CÍVEL - PRELIMINAR DE PREVENÇÃO - AÇÃO DE REVERSÃO E EXECUÇÃO FISCAL - AÇÕES NÃO DERIVADAS DO MESMO ATO, FATO, CONTRATO OU RELAÇÃO JURÍDICA - RISCO DE DECISÕES CONFLITANTES - AUSÊNCIA - PRELIMINAR REJEITADA - MÉRITO - REVERSÃO DE IMÓVEL AO PATRIMÔNIO PÚBLICO - PERMISSÃO DE USO - CARÁTER NEGOCIAL - PREVALÊNCIA DOS PRAZOS E CONDIÇÕES ESTABELECIDOS ENTRE AS PARTES - DESCUMPRIMENTO DOS ENCARGOS COMPROVADO MEDIANTE PROVA PERICIAL - FINALIDADE DO ATO NÃO ATINGIDA - REVERSÃO DO BEM AO PATRIMÔNIO PÚBLICO - CLAUSULA CONTRATUAL QUE AFASTA A INDENIZAÇÃO POR BENFEITORIAS - CUMPRIMENTO - RECURSO A QUE SE NEGA PROVIMENTO. 1 - Conforme previsão contida no art. 79 do Regimento Interno deste </w:t>
      </w:r>
      <w:r w:rsidRPr="00FF0768">
        <w:rPr>
          <w:rFonts w:ascii="Courier New" w:hAnsi="Courier New" w:cs="Courier New"/>
        </w:rPr>
        <w:t>Eg</w:t>
      </w:r>
      <w:r w:rsidRPr="00FF0768">
        <w:rPr>
          <w:rFonts w:ascii="Courier New" w:hAnsi="Courier New" w:cs="Courier New"/>
        </w:rPr>
        <w:t xml:space="preserve">. TJMG, somente se autoriza o reconhecimento de prevenção entre ações que sejam derivadas do mesmo ato, fato, contrato ou relação jurídica. 2 - A ação destinada a reversão de bem imóvel ao patrimônio público possui relação jurídica distinta em relação à Execução Fiscal relativa à cobrança de IPTU, sendo que, ainda que recaiam sobre o mesmo imóvel, não se vislumbra o risco de decisões conflitantes apto </w:t>
      </w:r>
      <w:r w:rsidRPr="00FF0768">
        <w:rPr>
          <w:rFonts w:ascii="Courier New" w:hAnsi="Courier New" w:cs="Courier New"/>
        </w:rPr>
        <w:t>a ensejar o reconhecimento da prevenção. Preliminar rejeitada. 3 - As permissões de uso de bens públicos são atos administrativos discricionários e precários e, como tal, são passíveis de revogação pelo Poder Público, prevalecendo o prazo determinado no termo de permissão e livremente pactuado entre as partes. 4 - Demonstrado que o processo administrativo instaurado para encerramento da permissão observou o prazo estabelecido na avença, bem como garantiu a efetiva participação do particular, deve ser afastada a alegação de nulidade do processo administrativo. 5 - Comprovado o descumprimento dos encargos estabelecidos pelo Poder Público Municipal e desvirtuamento da finalidade do ato administrativo de doação, resta autorizada a reversão do bem ao patrimônio público. 6 - O contrato de cessão do imóvel, com o qual anuiu a ré, ressalva expressamente que, em caso de reversão do bem ao patrimônio público por culpa do particular não há direito de indenização pelas benfeitorias realizadas, sendo descabida a retenção. 7 - Recurso desprovido.</w:t>
      </w:r>
      <w:r>
        <w:rPr>
          <w:rFonts w:ascii="Courier New" w:hAnsi="Courier New" w:cs="Courier New"/>
        </w:rPr>
        <w:t xml:space="preserve"> </w:t>
      </w:r>
      <w:r w:rsidRPr="00FF0768">
        <w:rPr>
          <w:rFonts w:ascii="Courier New" w:hAnsi="Courier New" w:cs="Courier New"/>
        </w:rPr>
        <w:t>(TJ-MG - Apelação Cível: 50035580920208130210, Relator: Des.(a) Sandra Fonseca, Data de Julgamento: 09/09/2025, Câmaras Cíveis / 6ª CÂMARA CÍVEL, Data de Publicação: 11/09/2025)</w:t>
      </w:r>
    </w:p>
    <w:p w:rsidR="00FF0768" w:rsidP="00FF0768" w14:paraId="1C838D0E" w14:textId="77777777">
      <w:pPr>
        <w:spacing w:before="120" w:after="120" w:line="276" w:lineRule="auto"/>
        <w:ind w:firstLine="567"/>
        <w:jc w:val="both"/>
        <w:rPr>
          <w:rFonts w:ascii="Courier New" w:hAnsi="Courier New" w:cs="Courier New"/>
          <w:sz w:val="22"/>
          <w:szCs w:val="22"/>
        </w:rPr>
      </w:pPr>
    </w:p>
    <w:p w:rsidR="00FF0768" w:rsidP="00FF0768" w14:paraId="58218BFE" w14:textId="4EC3F5C8">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Indo além, no que tange à r</w:t>
      </w:r>
      <w:r w:rsidRPr="00FF0768">
        <w:rPr>
          <w:rFonts w:ascii="Courier New" w:hAnsi="Courier New" w:cs="Courier New"/>
          <w:sz w:val="22"/>
          <w:szCs w:val="22"/>
        </w:rPr>
        <w:t xml:space="preserve">eversão </w:t>
      </w:r>
      <w:r>
        <w:rPr>
          <w:rFonts w:ascii="Courier New" w:hAnsi="Courier New" w:cs="Courier New"/>
          <w:sz w:val="22"/>
          <w:szCs w:val="22"/>
        </w:rPr>
        <w:t>a</w:t>
      </w:r>
      <w:r w:rsidRPr="00FF0768">
        <w:rPr>
          <w:rFonts w:ascii="Courier New" w:hAnsi="Courier New" w:cs="Courier New"/>
          <w:sz w:val="22"/>
          <w:szCs w:val="22"/>
        </w:rPr>
        <w:t>utomática (</w:t>
      </w:r>
      <w:r w:rsidRPr="00FF0768">
        <w:rPr>
          <w:rFonts w:ascii="Courier New" w:hAnsi="Courier New" w:cs="Courier New"/>
          <w:i/>
          <w:iCs/>
          <w:sz w:val="22"/>
          <w:szCs w:val="22"/>
        </w:rPr>
        <w:t>ope legis</w:t>
      </w:r>
      <w:r w:rsidRPr="00FF0768">
        <w:rPr>
          <w:rFonts w:ascii="Courier New" w:hAnsi="Courier New" w:cs="Courier New"/>
          <w:sz w:val="22"/>
          <w:szCs w:val="22"/>
        </w:rPr>
        <w:t xml:space="preserve">) e </w:t>
      </w:r>
      <w:r>
        <w:rPr>
          <w:rFonts w:ascii="Courier New" w:hAnsi="Courier New" w:cs="Courier New"/>
          <w:sz w:val="22"/>
          <w:szCs w:val="22"/>
        </w:rPr>
        <w:t>d</w:t>
      </w:r>
      <w:r w:rsidRPr="00FF0768">
        <w:rPr>
          <w:rFonts w:ascii="Courier New" w:hAnsi="Courier New" w:cs="Courier New"/>
          <w:sz w:val="22"/>
          <w:szCs w:val="22"/>
        </w:rPr>
        <w:t xml:space="preserve">esvio de </w:t>
      </w:r>
      <w:r>
        <w:rPr>
          <w:rFonts w:ascii="Courier New" w:hAnsi="Courier New" w:cs="Courier New"/>
          <w:sz w:val="22"/>
          <w:szCs w:val="22"/>
        </w:rPr>
        <w:t>f</w:t>
      </w:r>
      <w:r w:rsidRPr="00FF0768">
        <w:rPr>
          <w:rFonts w:ascii="Courier New" w:hAnsi="Courier New" w:cs="Courier New"/>
          <w:sz w:val="22"/>
          <w:szCs w:val="22"/>
        </w:rPr>
        <w:t>inalidade</w:t>
      </w:r>
      <w:r>
        <w:rPr>
          <w:rFonts w:ascii="Courier New" w:hAnsi="Courier New" w:cs="Courier New"/>
          <w:sz w:val="22"/>
          <w:szCs w:val="22"/>
        </w:rPr>
        <w:t>, tem-se que e</w:t>
      </w:r>
      <w:r w:rsidRPr="00FF0768">
        <w:rPr>
          <w:rFonts w:ascii="Courier New" w:hAnsi="Courier New" w:cs="Courier New"/>
          <w:sz w:val="22"/>
          <w:szCs w:val="22"/>
        </w:rPr>
        <w:t>m caso de descumprimento de encargos previstos em lei municipal que autorizou a alienação, a reversão pode operar-se de pleno direito, especialmente quando há desvirtuamento do fim público que motivou a alienação</w:t>
      </w:r>
      <w:r>
        <w:rPr>
          <w:rFonts w:ascii="Courier New" w:hAnsi="Courier New" w:cs="Courier New"/>
          <w:sz w:val="22"/>
          <w:szCs w:val="22"/>
        </w:rPr>
        <w:t>:</w:t>
      </w:r>
    </w:p>
    <w:p w:rsidR="00FF0768" w:rsidP="00FF0768" w14:paraId="268A7ECC" w14:textId="77777777">
      <w:pPr>
        <w:spacing w:before="120" w:after="120" w:line="276" w:lineRule="auto"/>
        <w:ind w:firstLine="567"/>
        <w:jc w:val="both"/>
        <w:rPr>
          <w:rFonts w:ascii="Courier New" w:hAnsi="Courier New" w:cs="Courier New"/>
          <w:sz w:val="22"/>
          <w:szCs w:val="22"/>
        </w:rPr>
      </w:pPr>
    </w:p>
    <w:p w:rsidR="00FF0768" w:rsidRPr="00092EEA" w:rsidP="00FF0768" w14:paraId="07021840" w14:textId="32A252DE">
      <w:pPr>
        <w:pBdr>
          <w:left w:val="single" w:sz="4" w:space="4" w:color="auto"/>
          <w:right w:val="single" w:sz="4" w:space="4" w:color="auto"/>
        </w:pBdr>
        <w:ind w:left="1560"/>
        <w:jc w:val="both"/>
        <w:rPr>
          <w:rFonts w:ascii="Courier New" w:hAnsi="Courier New" w:cs="Courier New"/>
        </w:rPr>
      </w:pPr>
      <w:r w:rsidRPr="00FF0768">
        <w:rPr>
          <w:rFonts w:ascii="Courier New" w:hAnsi="Courier New" w:cs="Courier New"/>
        </w:rPr>
        <w:t xml:space="preserve">DIREITO ADMINISTRATIVO. APELAÇÃO CÍVEL. AÇÃO DE REVOGAÇÃO DE DOAÇÃO ONEROSA, CUMULADA COM REINTEGRAÇÃO DE POSSE. JUÍZO A QUO QUE RECONHECEU A PRESCRIÇÃO. SENTENÇA REFORMADA. LEI MUNICIPAL N.º 9.458/08 QUE, AO AUTORIZAR A DOAÇÃO DO IMÓVEL PÚBLICO POSTO EM LITÍGIO, RESSALVOU A REVERSÃO AUTOMÁTICA, EM CASO DE DESCUMPRIMENTO DOS ENCARGOS ESTABELECIDOS PELA MESMA NORMA. SITUAÇÃO EM QUE A REVERSÃO OCORRE OPE LEGIS, NÃO HAVENDO QUE SE FALAR EM PRESCRIÇÃO. DEMANDA, ADEMAIS, AJUIZADA ANTES DO TRANSCURSO 10 (DEZ) ANOS, CONTADOS DA CIÊNCIA DO DESCUMPRIMENTO DO ENCARGO. PRECEDENTES DO SUPERIOR TRIBUNAL DE JUSTIÇA. ANÁLISE IMEDIATA DO MÉRITO. POSSIBILIDADE. CAUSA QUE SE ENCONTRA PRONTA PARA JULGAMENTO. ARTIGO 1.013, § 4º. DO CÓDIGO DE PROCESSO CIVIL. DOAÇÃO DE BEM PÚBLICO, COM ENCARGOS. REVERSÃO DA PROPRIEDADE AO PATRIMÔNIO DO MUNICÍPIO DE PONTA GROSSA, COM A RESPECTIVA REINTEGRAÇÃO DE POSSE. DIREITO CONSTATADO. DOCUMENTOS CONSTANTES DOS AUTOS QUE COMPROVAM QUE A DONATÁRIA DEIXOU DE CUMPRIR COM ENCARGO IMPOSTO PELA LEGISLAÇÃO QUE AUTORIZOU A DOAÇÃO, BEM COMO, QUE DESVIRTUOU O FIM PÚBLICO QUE MOTIVOU ESTA ALIENAÇÃO. INTELIGÊNCIA DOS ARTIGOS 2º., 3º. E 3º.-A DA LEI MUNICIPAL N.º 9.458/08. PROCEDÊNCIA DOS PEDIDOS FORMULADOS NA EXORDIAL QUE SE </w:t>
      </w:r>
      <w:r w:rsidRPr="00FF0768">
        <w:rPr>
          <w:rFonts w:ascii="Courier New" w:hAnsi="Courier New" w:cs="Courier New"/>
        </w:rPr>
        <w:t>IMPÕE.RECURSO</w:t>
      </w:r>
      <w:r w:rsidRPr="00FF0768">
        <w:rPr>
          <w:rFonts w:ascii="Courier New" w:hAnsi="Courier New" w:cs="Courier New"/>
        </w:rPr>
        <w:t xml:space="preserve"> PROVIDO. 1. Conforme entendimento firmado pela 2ª. Turma do Superior Tribunal de Justiça no REsp n.º 1.796.417/GO, não há que se falar em prescrição, quando a lei que autoriza a doação de bem público com encargos possui disposição expressa quanto à reversão automática decorrente do descumprimento das condições legais.1.1. Outrossim, como também esclarecido no mesmo Julgado, não havendo a referida ressalva, o prazo prescricional se conta da data da ciência do Ente Público acerca do descumprimento do encargo, em atenção à teoria da </w:t>
      </w:r>
      <w:r w:rsidRPr="00FF0768">
        <w:rPr>
          <w:rFonts w:ascii="Courier New" w:hAnsi="Courier New" w:cs="Courier New"/>
        </w:rPr>
        <w:t>actio</w:t>
      </w:r>
      <w:r w:rsidRPr="00FF0768">
        <w:rPr>
          <w:rFonts w:ascii="Courier New" w:hAnsi="Courier New" w:cs="Courier New"/>
        </w:rPr>
        <w:t xml:space="preserve"> nata. </w:t>
      </w:r>
      <w:r w:rsidRPr="00FF0768">
        <w:rPr>
          <w:rFonts w:ascii="Courier New" w:hAnsi="Courier New" w:cs="Courier New"/>
        </w:rPr>
        <w:t>1.2. Nesta segunda hipótese, o prazo prescricional será de 10 (dez) anos, nos termos do artigo 205 do Código Civil. 2. Na situação específica dos autos, a Lei Municipal n.º 9.458/08, que autorizou ao Município de Ponta Grossa doar o imóvel posto em litígio à empresa-requerida, contou com disposição expressa acerca da reversão automática, em caso de descumprimento de quaisquer dos encargos impostos pela mesma norma ou de modificação da destinação que motivou a alienação.2.1. Logo, a pretensão não está sujeita à prescrição, eis que – conforme o precedente acima invocado – o desfazimento da doação se opera ope legis.2.2. Ainda que assim não fosse, a demanda foi proposta antes do prazo prescricional decenal, contado da data em que o Município de Ponta Grossa tomou ciência do descumprimento das condições legais. 2.3. Diante destas premissas, fica reformada a sentença, para se afastar o reconhecimento da prescrição. 3. Encontrando-se o feito pronto para julgamento, necessário ingressar no mérito do litígio, nos termos do artigo 1.013, § 4º. do Código de Processo Civil. 4. Consoante se denota dos documentos colacionados aos autos, a empresa-donatária, além de não cumprir com o encargo relativo ao limite mínimo de área construída no imóvel, desvirtuou a finalidade pública que permitiu a doação posta em discussão.4.1. Neste contexto, observa-se que o bem, além de ter sido alvo de penhora em ação trabalhista ajuizada contra a requerida, também foi por ela posto à venda, aceitando-se como pagamento automóveis e outros imóveis localizados em cidade litorânea.4.2. Fatos que ensejam a reversão da propriedade do bem ao patrimônio do ente municipal. 5. Pedidos formulados na petição inicial julgados procedentes, para declarar a reversão postulada, com a consequente ordem de reintegração da posse em favor do Município de Ponta Grossa.</w:t>
      </w:r>
      <w:r>
        <w:rPr>
          <w:rFonts w:ascii="Courier New" w:hAnsi="Courier New" w:cs="Courier New"/>
        </w:rPr>
        <w:t xml:space="preserve"> </w:t>
      </w:r>
      <w:r w:rsidRPr="00FF0768">
        <w:rPr>
          <w:rFonts w:ascii="Courier New" w:hAnsi="Courier New" w:cs="Courier New"/>
        </w:rPr>
        <w:t xml:space="preserve">(TJ-PR 00006255320238160019 Ponta Grossa, Relator: Abraham Lincoln </w:t>
      </w:r>
      <w:r w:rsidRPr="00FF0768">
        <w:rPr>
          <w:rFonts w:ascii="Courier New" w:hAnsi="Courier New" w:cs="Courier New"/>
        </w:rPr>
        <w:t>Merheb</w:t>
      </w:r>
      <w:r w:rsidRPr="00FF0768">
        <w:rPr>
          <w:rFonts w:ascii="Courier New" w:hAnsi="Courier New" w:cs="Courier New"/>
        </w:rPr>
        <w:t xml:space="preserve"> Calixto, Data de Julgamento: 15/10/2024, 4ª Câmara Cível, Data de Publicação: 16/10/2024)</w:t>
      </w:r>
    </w:p>
    <w:p w:rsidR="00FF0768" w:rsidP="00FF0768" w14:paraId="6E17FA68" w14:textId="77777777">
      <w:pPr>
        <w:spacing w:before="120" w:after="120" w:line="276" w:lineRule="auto"/>
        <w:ind w:firstLine="567"/>
        <w:jc w:val="both"/>
        <w:rPr>
          <w:rFonts w:ascii="Courier New" w:hAnsi="Courier New" w:cs="Courier New"/>
          <w:sz w:val="22"/>
          <w:szCs w:val="22"/>
        </w:rPr>
      </w:pPr>
    </w:p>
    <w:p w:rsidR="00FF0768" w:rsidP="00982017" w14:paraId="5A29C21F" w14:textId="268F7582">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Inclusive, o</w:t>
      </w:r>
      <w:r w:rsidRPr="00982017">
        <w:rPr>
          <w:rFonts w:ascii="Courier New" w:hAnsi="Courier New" w:cs="Courier New"/>
          <w:sz w:val="22"/>
          <w:szCs w:val="22"/>
        </w:rPr>
        <w:t xml:space="preserve"> Supremo Tribunal Federal possui jurisprudência consolidada no sentido de que a reserva de iniciativa</w:t>
      </w:r>
      <w:r>
        <w:rPr>
          <w:rFonts w:ascii="Courier New" w:hAnsi="Courier New" w:cs="Courier New"/>
          <w:sz w:val="22"/>
          <w:szCs w:val="22"/>
        </w:rPr>
        <w:t xml:space="preserve"> do Executivo</w:t>
      </w:r>
      <w:r w:rsidRPr="00982017">
        <w:rPr>
          <w:rFonts w:ascii="Courier New" w:hAnsi="Courier New" w:cs="Courier New"/>
          <w:sz w:val="22"/>
          <w:szCs w:val="22"/>
        </w:rPr>
        <w:t xml:space="preserve"> não impede que os parlamentares apresentem emendas. A validade dessas emendas depende de dois requisitos: não aumentar a despesa prevista e manter a pertinência temática com o projeto original.</w:t>
      </w:r>
      <w:r>
        <w:rPr>
          <w:rFonts w:ascii="Courier New" w:hAnsi="Courier New" w:cs="Courier New"/>
          <w:sz w:val="22"/>
          <w:szCs w:val="22"/>
        </w:rPr>
        <w:t xml:space="preserve"> </w:t>
      </w:r>
      <w:r w:rsidRPr="00982017">
        <w:rPr>
          <w:rFonts w:ascii="Courier New" w:hAnsi="Courier New" w:cs="Courier New"/>
          <w:sz w:val="22"/>
          <w:szCs w:val="22"/>
        </w:rPr>
        <w:t xml:space="preserve">No caso </w:t>
      </w:r>
      <w:r>
        <w:rPr>
          <w:rFonts w:ascii="Courier New" w:hAnsi="Courier New" w:cs="Courier New"/>
          <w:sz w:val="22"/>
          <w:szCs w:val="22"/>
        </w:rPr>
        <w:t xml:space="preserve">dessa </w:t>
      </w:r>
      <w:r w:rsidRPr="00982017">
        <w:rPr>
          <w:rFonts w:ascii="Courier New" w:hAnsi="Courier New" w:cs="Courier New"/>
          <w:sz w:val="22"/>
          <w:szCs w:val="22"/>
        </w:rPr>
        <w:t>emenda, ela não cria gastos para o Município (pelo contrário, protege o patrimônio) e guarda total pertinência com o projeto de alienação de imóveis</w:t>
      </w:r>
      <w:r>
        <w:rPr>
          <w:rFonts w:ascii="Courier New" w:hAnsi="Courier New" w:cs="Courier New"/>
          <w:sz w:val="22"/>
          <w:szCs w:val="22"/>
        </w:rPr>
        <w:t>:</w:t>
      </w:r>
    </w:p>
    <w:p w:rsidR="00982017" w:rsidP="00982017" w14:paraId="39E6A496" w14:textId="77777777">
      <w:pPr>
        <w:spacing w:before="120" w:after="120" w:line="276" w:lineRule="auto"/>
        <w:ind w:firstLine="567"/>
        <w:jc w:val="both"/>
        <w:rPr>
          <w:rFonts w:ascii="Courier New" w:hAnsi="Courier New" w:cs="Courier New"/>
          <w:sz w:val="22"/>
          <w:szCs w:val="22"/>
        </w:rPr>
      </w:pPr>
    </w:p>
    <w:p w:rsidR="00982017" w:rsidRPr="00092EEA" w:rsidP="00982017" w14:paraId="29EC65B2" w14:textId="036F86D8">
      <w:pPr>
        <w:pBdr>
          <w:left w:val="single" w:sz="4" w:space="4" w:color="auto"/>
          <w:right w:val="single" w:sz="4" w:space="4" w:color="auto"/>
        </w:pBdr>
        <w:ind w:left="1560"/>
        <w:jc w:val="both"/>
        <w:rPr>
          <w:rFonts w:ascii="Courier New" w:hAnsi="Courier New" w:cs="Courier New"/>
        </w:rPr>
      </w:pPr>
      <w:r w:rsidRPr="00982017">
        <w:rPr>
          <w:rFonts w:ascii="Courier New" w:hAnsi="Courier New" w:cs="Courier New"/>
        </w:rPr>
        <w:t xml:space="preserve">AÇÃO DIRETA DE INCONSTITUCIONALIDADE – CÓDIGO DE ORGANIZAÇÃO E DIVISÃO JUDICIÁRIAS DO ESTADO DO PARANÁ (LEI Nº 14.277/2003)– SUPERVENIÊNCIA DE LEI ESTADUAL QUE REVOGOU, PARCIALMENTE, O DIPLOMA LEGISLATIVO IMPUGNADO – CONSEQUENTE PREJUDICIALIDADE PARCIAL DA AÇÃO DIRETA – PRECEDENTES – PROJETO DE LEI DE INICIATIVA DO TRIBUNAL DE JUSTIÇA – SUJEIÇÃO, NO CASO, À CLÁUSULA CONSTITUCIONAL DE RESERVA ( CF, ART. 125, § 1º, “in fine”)– OFERECIMENTO E APROVAÇÃO, NO CURSO DO PROCESSO LEGISLATIVO, DE EMENDAS PARLAMENTARES – ALTERAÇÕES INTRODUZIDAS POR MEIO DE EMENDAS DA ASSEMBLEIA LEGISLATIVA ESTADUAL À PROPOSTA LEGISLATIVA FORMULADA PELO TRIBUNAL DE JUSTIÇA LOCAL QUE, ALÉM DE DESCARACTERIZAREM O PROJETO ORIGINAL, NÃO GUARDAM RELAÇÃO DE PERTINÊNCIA (AFINIDADE LÓGICA) COM A PROPOSIÇÃO INICIAL – A </w:t>
      </w:r>
      <w:r w:rsidRPr="00982017">
        <w:rPr>
          <w:rFonts w:ascii="Courier New" w:hAnsi="Courier New" w:cs="Courier New"/>
        </w:rPr>
        <w:t>QUESTÃO DAS EMENDAS PARLAMENTARES A PROJETOS DE INICIATIVA RESERVADA A OUTROS PODERES DO ESTADO – POSSIBILIDADE – LIMITAÇÕES QUE INCIDEM SOBRE O PODER DE EMENDAR PROPOSIÇÕES LEGISLATIVAS – DOUTRINA – PRECEDENTES – REAFIRMAÇÃO DA JURISPRUDÊNCIA CONSOLIDADA, NO TEMA, PELO SUPREMO TRIBUNAL FEDERAL – PARECER DA PROCURADORIA-GERAL DA REPÚBLICA PELA INCONSTITUCIONALIDADE DOS ATOS NORMATIVOS QUESTIONADOS – AÇÃO DIRETA PARCIALMENTE PREJUDICADA E, NA PARTE REMANESCENTE, JULGADA PROCEDENTE. LIMITAÇÕES CONSTITUCIONAIS AO EXERCÍCIO DO PODER DE EMENDA PELOS MEMBROS DO PARLAMENTO – O poder de emendar projetos de lei – que se reveste de natureza eminentemente constitucional – qualifica-se como prerrogativa de ordem político-jurídica inerente ao exercício da atividade legislativa. Essa prerrogativa institucional, precisamente por não traduzir corolário do poder de iniciar o processo de formação das leis (</w:t>
      </w:r>
      <w:r w:rsidRPr="00982017">
        <w:rPr>
          <w:rFonts w:ascii="Courier New" w:hAnsi="Courier New" w:cs="Courier New"/>
        </w:rPr>
        <w:t>RTJ</w:t>
      </w:r>
      <w:r w:rsidRPr="00982017">
        <w:rPr>
          <w:rFonts w:ascii="Courier New" w:hAnsi="Courier New" w:cs="Courier New"/>
        </w:rPr>
        <w:t xml:space="preserve"> 36/382, 385 – </w:t>
      </w:r>
      <w:r w:rsidRPr="00982017">
        <w:rPr>
          <w:rFonts w:ascii="Courier New" w:hAnsi="Courier New" w:cs="Courier New"/>
        </w:rPr>
        <w:t>RTJ</w:t>
      </w:r>
      <w:r w:rsidRPr="00982017">
        <w:rPr>
          <w:rFonts w:ascii="Courier New" w:hAnsi="Courier New" w:cs="Courier New"/>
        </w:rPr>
        <w:t xml:space="preserve"> 37/113 – </w:t>
      </w:r>
      <w:r w:rsidRPr="00982017">
        <w:rPr>
          <w:rFonts w:ascii="Courier New" w:hAnsi="Courier New" w:cs="Courier New"/>
        </w:rPr>
        <w:t>RDA</w:t>
      </w:r>
      <w:r w:rsidRPr="00982017">
        <w:rPr>
          <w:rFonts w:ascii="Courier New" w:hAnsi="Courier New" w:cs="Courier New"/>
        </w:rPr>
        <w:t xml:space="preserve"> 102/261), pode ser legitimamente exercida pelos membros do Legislativo, ainda que se cuide de proposições constitucionalmente sujeitas à cláusula de reserva de iniciativa, desde que – respeitadas as limitações estabelecidas na Constituição da </w:t>
      </w:r>
      <w:r w:rsidRPr="00982017">
        <w:rPr>
          <w:rFonts w:ascii="Courier New" w:hAnsi="Courier New" w:cs="Courier New"/>
        </w:rPr>
        <w:t>Republica</w:t>
      </w:r>
      <w:r w:rsidRPr="00982017">
        <w:rPr>
          <w:rFonts w:ascii="Courier New" w:hAnsi="Courier New" w:cs="Courier New"/>
        </w:rPr>
        <w:t xml:space="preserve"> – as emendas parlamentares (a) não importem em aumento da despesa prevista no projeto de lei e (b) guardem afinidade lógica com a proposição original (vínculo de pertinência). Doutrina. Jurisprudência. – Inobservância, no caso, de tais restrições, quando do oferecimento das emendas parlamentares, pelos Deputados Estaduais. Consequente declaração de inconstitucionalidade formal dos preceitos normativos impugnados nesta sede de fiscalização normativa abstrata. A SANÇÃO DO PROJETO DE LEI NÃO CONVALIDA O VÍCIO DE INCONSTITUCIONALIDADE RESULTANTE DO DESRESPEITO, PELOS PARLAMENTARES, DOS LIMITES QUE INCIDEM SOBRE O PODER DE EMENDA QUE LHES É INERENTE – A aquiescência do Chefe do Poder Executivo mediante sanção, expressa ou tácita, do projeto de lei, sendo dele, ou não, a prerrogativa usurpada, não tem o condão de sanar o vício de inconstitucionalidade que afeta, juridicamente, a proposição legislativa aprovada. Insubsistência da Súmula nº 5/STF (formulada sob a égide da Constituição de 1946), em virtude da superveniente promulgação da Constituição Federal de 1988. Doutrina. Precedentes.</w:t>
      </w:r>
      <w:r>
        <w:rPr>
          <w:rFonts w:ascii="Courier New" w:hAnsi="Courier New" w:cs="Courier New"/>
        </w:rPr>
        <w:t xml:space="preserve"> </w:t>
      </w:r>
      <w:r w:rsidRPr="00982017">
        <w:rPr>
          <w:rFonts w:ascii="Courier New" w:hAnsi="Courier New" w:cs="Courier New"/>
        </w:rPr>
        <w:t>(STF - ADI: 3517 PR, Relator: CELSO DE MELLO, Data de Julgamento: 17/10/2018, Tribunal Pleno, Data de Publicação: 25/06/2019)</w:t>
      </w:r>
    </w:p>
    <w:p w:rsidR="00982017" w:rsidP="00982017" w14:paraId="4D92020F" w14:textId="77777777">
      <w:pPr>
        <w:spacing w:before="120" w:after="120" w:line="276" w:lineRule="auto"/>
        <w:ind w:firstLine="567"/>
        <w:jc w:val="both"/>
        <w:rPr>
          <w:rFonts w:ascii="Courier New" w:hAnsi="Courier New" w:cs="Courier New"/>
          <w:sz w:val="22"/>
          <w:szCs w:val="22"/>
        </w:rPr>
      </w:pPr>
    </w:p>
    <w:p w:rsidR="00982017" w:rsidP="00982017" w14:paraId="3022B1BE" w14:textId="5BE34178">
      <w:pPr>
        <w:spacing w:before="120" w:after="120" w:line="276" w:lineRule="auto"/>
        <w:ind w:firstLine="567"/>
        <w:jc w:val="both"/>
        <w:rPr>
          <w:rFonts w:ascii="Courier New" w:hAnsi="Courier New" w:cs="Courier New"/>
          <w:sz w:val="22"/>
          <w:szCs w:val="22"/>
        </w:rPr>
      </w:pPr>
      <w:r w:rsidRPr="00982017">
        <w:rPr>
          <w:rFonts w:ascii="Courier New" w:hAnsi="Courier New" w:cs="Courier New"/>
          <w:sz w:val="22"/>
          <w:szCs w:val="22"/>
        </w:rPr>
        <w:t>A doutrina administrativista clássica e contemporânea sustenta que a reversibilidade é um instrumento essencial para a proteção do patrimônio público e a garantia da continuidade da utilidade pública</w:t>
      </w:r>
      <w:r>
        <w:rPr>
          <w:rFonts w:ascii="Courier New" w:hAnsi="Courier New" w:cs="Courier New"/>
          <w:sz w:val="22"/>
          <w:szCs w:val="22"/>
        </w:rPr>
        <w:t>:</w:t>
      </w:r>
    </w:p>
    <w:p w:rsidR="00982017" w:rsidP="00982017" w14:paraId="78986D1C" w14:textId="77777777">
      <w:pPr>
        <w:spacing w:before="120" w:after="120" w:line="276" w:lineRule="auto"/>
        <w:ind w:firstLine="567"/>
        <w:jc w:val="both"/>
        <w:rPr>
          <w:rFonts w:ascii="Courier New" w:hAnsi="Courier New" w:cs="Courier New"/>
          <w:sz w:val="22"/>
          <w:szCs w:val="22"/>
        </w:rPr>
      </w:pPr>
    </w:p>
    <w:p w:rsidR="00982017" w:rsidRPr="00092EEA" w:rsidP="00982017" w14:paraId="666045AB" w14:textId="2A32CD54">
      <w:pPr>
        <w:pBdr>
          <w:left w:val="single" w:sz="4" w:space="4" w:color="auto"/>
          <w:right w:val="single" w:sz="4" w:space="4" w:color="auto"/>
        </w:pBdr>
        <w:ind w:left="1560"/>
        <w:jc w:val="both"/>
        <w:rPr>
          <w:rFonts w:ascii="Courier New" w:hAnsi="Courier New" w:cs="Courier New"/>
        </w:rPr>
      </w:pPr>
      <w:r w:rsidRPr="00982017">
        <w:rPr>
          <w:rFonts w:ascii="Courier New" w:hAnsi="Courier New" w:cs="Courier New"/>
        </w:rPr>
        <w:t xml:space="preserve">"Para o direito administrativo dos bens, a reversibilidade não pode mais se reduzir a um instituto peculiar da legislação de concessões de serviços públicos econômicos. Como instrumento jurídico que permite tutelar os bens imprescindíveis à promoção de interesses públicos primários, há que se estendê-la para o campo dos serviços sociais, serviços administrativos e, sob certas condições, para atividades de interesse público desempenhadas por particulares em nome do Estado ou fomentadas por ele. Em seu conteúdo, a reversibilidade precisa ser lida não como um simples dever de devolução de bem ao Estado. Trata-se de um dever de se garantir a continuidade de certa função ou utilidade pública dependente do bem, o que implica, por vezes, </w:t>
      </w:r>
      <w:r w:rsidRPr="00982017">
        <w:rPr>
          <w:rFonts w:ascii="Courier New" w:hAnsi="Courier New" w:cs="Courier New"/>
        </w:rPr>
        <w:t xml:space="preserve">transferi-lo à Administração Pública ou a terceiros por ela indicados." </w:t>
      </w:r>
      <w:r>
        <w:rPr>
          <w:rFonts w:ascii="Courier New" w:hAnsi="Courier New" w:cs="Courier New"/>
        </w:rPr>
        <w:t>(</w:t>
      </w:r>
      <w:r w:rsidRPr="00982017">
        <w:rPr>
          <w:rFonts w:ascii="Courier New" w:hAnsi="Courier New" w:cs="Courier New"/>
        </w:rPr>
        <w:t>MARRARA, Thiago. Manual de Direito Administrativo. São Paulo: Editora Foco, 2024</w:t>
      </w:r>
      <w:r>
        <w:rPr>
          <w:rFonts w:ascii="Courier New" w:hAnsi="Courier New" w:cs="Courier New"/>
        </w:rPr>
        <w:t>)</w:t>
      </w:r>
      <w:r w:rsidRPr="00982017">
        <w:rPr>
          <w:rFonts w:ascii="Courier New" w:hAnsi="Courier New" w:cs="Courier New"/>
        </w:rPr>
        <w:t>.</w:t>
      </w:r>
    </w:p>
    <w:p w:rsidR="00982017" w:rsidP="00982017" w14:paraId="05609C7E" w14:textId="77777777">
      <w:pPr>
        <w:spacing w:before="120" w:after="120" w:line="276" w:lineRule="auto"/>
        <w:ind w:firstLine="567"/>
        <w:jc w:val="both"/>
        <w:rPr>
          <w:rFonts w:ascii="Courier New" w:hAnsi="Courier New" w:cs="Courier New"/>
          <w:sz w:val="22"/>
          <w:szCs w:val="22"/>
        </w:rPr>
      </w:pPr>
    </w:p>
    <w:p w:rsidR="00982017" w:rsidRPr="00092EEA" w:rsidP="00982017" w14:paraId="0C7CC271" w14:textId="61390E17">
      <w:pPr>
        <w:pBdr>
          <w:left w:val="single" w:sz="4" w:space="4" w:color="auto"/>
          <w:right w:val="single" w:sz="4" w:space="4" w:color="auto"/>
        </w:pBdr>
        <w:ind w:left="1560"/>
        <w:jc w:val="both"/>
        <w:rPr>
          <w:rFonts w:ascii="Courier New" w:hAnsi="Courier New" w:cs="Courier New"/>
        </w:rPr>
      </w:pPr>
      <w:r w:rsidRPr="00982017">
        <w:rPr>
          <w:rFonts w:ascii="Courier New" w:hAnsi="Courier New" w:cs="Courier New"/>
        </w:rPr>
        <w:t>"A doação com encargo será licitada e de seu instrumento constarão, obrigatoriamente os encargos, o prazo de seu cumprimento e cláusula de reversão, sob pena de nulidade do ato, sendo dispensada a licitação no caso de interesse público devidamente justificado</w:t>
      </w:r>
      <w:r>
        <w:rPr>
          <w:rFonts w:ascii="Courier New" w:hAnsi="Courier New" w:cs="Courier New"/>
        </w:rPr>
        <w:t>;” (</w:t>
      </w:r>
      <w:r w:rsidRPr="00982017">
        <w:rPr>
          <w:rFonts w:ascii="Courier New" w:hAnsi="Courier New" w:cs="Courier New"/>
        </w:rPr>
        <w:t>LEONARDOS, Natália. Meta OAB. São Paulo: Editora Foco, 2023</w:t>
      </w:r>
      <w:r>
        <w:rPr>
          <w:rFonts w:ascii="Courier New" w:hAnsi="Courier New" w:cs="Courier New"/>
        </w:rPr>
        <w:t>)</w:t>
      </w:r>
      <w:r w:rsidRPr="00982017">
        <w:rPr>
          <w:rFonts w:ascii="Courier New" w:hAnsi="Courier New" w:cs="Courier New"/>
        </w:rPr>
        <w:t>.</w:t>
      </w:r>
    </w:p>
    <w:p w:rsidR="00982017" w:rsidRPr="00982017" w:rsidP="00982017" w14:paraId="5C999F2F" w14:textId="77777777">
      <w:pPr>
        <w:spacing w:before="120" w:after="120" w:line="276" w:lineRule="auto"/>
        <w:ind w:firstLine="567"/>
        <w:jc w:val="both"/>
        <w:rPr>
          <w:rFonts w:ascii="Courier New" w:hAnsi="Courier New" w:cs="Courier New"/>
          <w:sz w:val="22"/>
          <w:szCs w:val="22"/>
        </w:rPr>
      </w:pPr>
    </w:p>
    <w:p w:rsidR="00982017" w:rsidRPr="00982017" w:rsidP="00982017" w14:paraId="60FE2459" w14:textId="37489E3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Por fim, a</w:t>
      </w:r>
      <w:r w:rsidRPr="00982017">
        <w:rPr>
          <w:rFonts w:ascii="Courier New" w:hAnsi="Courier New" w:cs="Courier New"/>
          <w:sz w:val="22"/>
          <w:szCs w:val="22"/>
        </w:rPr>
        <w:t xml:space="preserve"> doutrina clássica de </w:t>
      </w:r>
      <w:r w:rsidRPr="00982017">
        <w:rPr>
          <w:rFonts w:ascii="Courier New" w:hAnsi="Courier New" w:cs="Courier New"/>
          <w:b/>
          <w:bCs/>
          <w:i/>
          <w:iCs/>
          <w:sz w:val="22"/>
          <w:szCs w:val="22"/>
        </w:rPr>
        <w:t>Hely Lopes Meirelles</w:t>
      </w:r>
      <w:r w:rsidRPr="00982017">
        <w:rPr>
          <w:rFonts w:ascii="Courier New" w:hAnsi="Courier New" w:cs="Courier New"/>
          <w:sz w:val="22"/>
          <w:szCs w:val="22"/>
        </w:rPr>
        <w:t>, um dos maiores expoentes do Direito Municipal no Brasil, sustenta que o Poder Legislativo tem o dever de controlar a alienação de bens públicos. Ao inserir encargos e cláusulas de reversão, o vereador está exercendo sua função de controle sobre o patrimônio municipal, garantindo que o interesse público seja preservado.</w:t>
      </w:r>
      <w:r>
        <w:rPr>
          <w:rFonts w:ascii="Courier New" w:hAnsi="Courier New" w:cs="Courier New"/>
          <w:sz w:val="22"/>
          <w:szCs w:val="22"/>
        </w:rPr>
        <w:t xml:space="preserve"> </w:t>
      </w:r>
      <w:r w:rsidRPr="00982017">
        <w:rPr>
          <w:rFonts w:ascii="Courier New" w:hAnsi="Courier New" w:cs="Courier New"/>
          <w:sz w:val="22"/>
          <w:szCs w:val="22"/>
        </w:rPr>
        <w:t>Segundo o autor, a alienação de bens imóveis depende de autorização legislativa e deve ser cercada de cautelas que assegurem a finalidade pública do ato</w:t>
      </w:r>
      <w:r>
        <w:rPr>
          <w:rFonts w:ascii="Courier New" w:hAnsi="Courier New" w:cs="Courier New"/>
          <w:sz w:val="22"/>
          <w:szCs w:val="22"/>
        </w:rPr>
        <w:t>:</w:t>
      </w:r>
    </w:p>
    <w:p w:rsidR="00FF0768" w:rsidP="00FF0768" w14:paraId="68853261" w14:textId="10C55AF4">
      <w:pPr>
        <w:spacing w:before="120" w:after="120" w:line="276" w:lineRule="auto"/>
        <w:ind w:firstLine="567"/>
        <w:jc w:val="both"/>
        <w:rPr>
          <w:rFonts w:ascii="Courier New" w:hAnsi="Courier New" w:cs="Courier New"/>
          <w:sz w:val="22"/>
          <w:szCs w:val="22"/>
        </w:rPr>
      </w:pPr>
    </w:p>
    <w:p w:rsidR="00982017" w:rsidRPr="00092EEA" w:rsidP="00982017" w14:paraId="156031EF" w14:textId="2C383349">
      <w:pPr>
        <w:pBdr>
          <w:left w:val="single" w:sz="4" w:space="4" w:color="auto"/>
          <w:right w:val="single" w:sz="4" w:space="4" w:color="auto"/>
        </w:pBdr>
        <w:ind w:left="1560"/>
        <w:jc w:val="both"/>
        <w:rPr>
          <w:rFonts w:ascii="Courier New" w:hAnsi="Courier New" w:cs="Courier New"/>
        </w:rPr>
      </w:pPr>
      <w:r w:rsidRPr="00982017">
        <w:rPr>
          <w:rFonts w:ascii="Courier New" w:hAnsi="Courier New" w:cs="Courier New"/>
        </w:rPr>
        <w:t xml:space="preserve">"A alienação de bens imóveis da Administração Direta e autárquica depende de autorização legislativa, avaliação prévia e licitação... O Legislativo, ao autorizar a alienação, pode e deve fixar as condições e encargos que atendam ao interesse da coletividade, garantindo que o patrimônio público não seja desviado de sua finalidade social." </w:t>
      </w:r>
      <w:r>
        <w:rPr>
          <w:rFonts w:ascii="Courier New" w:hAnsi="Courier New" w:cs="Courier New"/>
        </w:rPr>
        <w:t>(</w:t>
      </w:r>
      <w:r w:rsidRPr="00982017">
        <w:rPr>
          <w:rFonts w:ascii="Courier New" w:hAnsi="Courier New" w:cs="Courier New"/>
        </w:rPr>
        <w:t>MEIRELLES, Hely Lopes. Direito Municipal Brasileiro. 19ª ed. São Paulo: Malheiros, 2023</w:t>
      </w:r>
      <w:r>
        <w:rPr>
          <w:rFonts w:ascii="Courier New" w:hAnsi="Courier New" w:cs="Courier New"/>
        </w:rPr>
        <w:t xml:space="preserve"> - t</w:t>
      </w:r>
      <w:r w:rsidRPr="00982017">
        <w:rPr>
          <w:rFonts w:ascii="Courier New" w:hAnsi="Courier New" w:cs="Courier New"/>
        </w:rPr>
        <w:t>recho adaptado conforme a tese doutrinária do autor sobre gestão de bens e controle legislativo).</w:t>
      </w:r>
    </w:p>
    <w:p w:rsidR="00982017" w:rsidP="00FF0768" w14:paraId="7A178716" w14:textId="77777777">
      <w:pPr>
        <w:spacing w:before="120" w:after="120" w:line="276" w:lineRule="auto"/>
        <w:ind w:firstLine="567"/>
        <w:jc w:val="both"/>
        <w:rPr>
          <w:rFonts w:ascii="Courier New" w:hAnsi="Courier New" w:cs="Courier New"/>
          <w:sz w:val="22"/>
          <w:szCs w:val="22"/>
        </w:rPr>
      </w:pPr>
    </w:p>
    <w:p w:rsidR="00FF0768" w:rsidP="00FF0768" w14:paraId="1AED2D34" w14:textId="1B572AF4">
      <w:pPr>
        <w:spacing w:before="120" w:after="120" w:line="276" w:lineRule="auto"/>
        <w:ind w:firstLine="567"/>
        <w:jc w:val="both"/>
        <w:rPr>
          <w:rFonts w:ascii="Courier New" w:hAnsi="Courier New" w:cs="Courier New"/>
          <w:sz w:val="22"/>
          <w:szCs w:val="22"/>
        </w:rPr>
      </w:pPr>
      <w:r w:rsidRPr="00EB7E2C">
        <w:rPr>
          <w:rFonts w:ascii="Courier New" w:hAnsi="Courier New" w:cs="Courier New"/>
          <w:sz w:val="22"/>
          <w:szCs w:val="22"/>
        </w:rPr>
        <w:t xml:space="preserve">Em conclusão, a inclusão da cláusula de reversão não constitui mera faculdade discricionária, mas imperativo derivado do </w:t>
      </w:r>
      <w:r w:rsidRPr="00EB7E2C">
        <w:rPr>
          <w:rFonts w:ascii="Courier New" w:hAnsi="Courier New" w:cs="Courier New"/>
          <w:b/>
          <w:bCs/>
          <w:sz w:val="22"/>
          <w:szCs w:val="22"/>
        </w:rPr>
        <w:t>Princípio da Finalidade</w:t>
      </w:r>
      <w:r w:rsidRPr="00EB7E2C">
        <w:rPr>
          <w:rFonts w:ascii="Courier New" w:hAnsi="Courier New" w:cs="Courier New"/>
          <w:sz w:val="22"/>
          <w:szCs w:val="22"/>
        </w:rPr>
        <w:t>, assegurando que o ato administrativo de alienação permaneça indissociavelmente vinculado ao escopo social que motivou a desafetação do bem.</w:t>
      </w:r>
    </w:p>
    <w:p w:rsidR="00FF0768" w:rsidP="00FF0768" w14:paraId="17EBD259" w14:textId="77777777">
      <w:pPr>
        <w:spacing w:before="120" w:after="120" w:line="276" w:lineRule="auto"/>
        <w:ind w:firstLine="567"/>
        <w:jc w:val="both"/>
        <w:rPr>
          <w:rFonts w:ascii="Courier New" w:hAnsi="Courier New" w:cs="Courier New"/>
          <w:sz w:val="22"/>
          <w:szCs w:val="22"/>
        </w:rPr>
      </w:pPr>
      <w:r w:rsidRPr="00EB7E2C">
        <w:rPr>
          <w:rFonts w:ascii="Courier New" w:hAnsi="Courier New" w:cs="Courier New"/>
          <w:sz w:val="22"/>
          <w:szCs w:val="22"/>
        </w:rPr>
        <w:t xml:space="preserve">Sob a égide do </w:t>
      </w:r>
      <w:r w:rsidRPr="00EB7E2C">
        <w:rPr>
          <w:rFonts w:ascii="Courier New" w:hAnsi="Courier New" w:cs="Courier New"/>
          <w:b/>
          <w:bCs/>
          <w:sz w:val="22"/>
          <w:szCs w:val="22"/>
        </w:rPr>
        <w:t>Princípio da Segurança Jurídica</w:t>
      </w:r>
      <w:r w:rsidRPr="00EB7E2C">
        <w:rPr>
          <w:rFonts w:ascii="Courier New" w:hAnsi="Courier New" w:cs="Courier New"/>
          <w:sz w:val="22"/>
          <w:szCs w:val="22"/>
        </w:rPr>
        <w:t xml:space="preserve">, a norma confere clareza solar ao particular quanto às consequências do inadimplemento, resguardando a Administração de prejuízos futuros e garantindo que o patrimônio público seja gerido com o rigor que a </w:t>
      </w:r>
      <w:r w:rsidRPr="00EB7E2C">
        <w:rPr>
          <w:rFonts w:ascii="Courier New" w:hAnsi="Courier New" w:cs="Courier New"/>
          <w:i/>
          <w:iCs/>
          <w:sz w:val="22"/>
          <w:szCs w:val="22"/>
        </w:rPr>
        <w:t>res publica</w:t>
      </w:r>
      <w:r w:rsidRPr="00EB7E2C">
        <w:rPr>
          <w:rFonts w:ascii="Courier New" w:hAnsi="Courier New" w:cs="Courier New"/>
          <w:sz w:val="22"/>
          <w:szCs w:val="22"/>
        </w:rPr>
        <w:t xml:space="preserve"> exige, operando-se o desfazimento do vínculo com efeitos </w:t>
      </w:r>
      <w:r w:rsidRPr="00EB7E2C">
        <w:rPr>
          <w:rFonts w:ascii="Courier New" w:hAnsi="Courier New" w:cs="Courier New"/>
          <w:i/>
          <w:iCs/>
          <w:sz w:val="22"/>
          <w:szCs w:val="22"/>
        </w:rPr>
        <w:t>ex</w:t>
      </w:r>
      <w:r w:rsidRPr="00EB7E2C">
        <w:rPr>
          <w:rFonts w:ascii="Courier New" w:hAnsi="Courier New" w:cs="Courier New"/>
          <w:i/>
          <w:iCs/>
          <w:sz w:val="22"/>
          <w:szCs w:val="22"/>
        </w:rPr>
        <w:t xml:space="preserve"> </w:t>
      </w:r>
      <w:r w:rsidRPr="00EB7E2C">
        <w:rPr>
          <w:rFonts w:ascii="Courier New" w:hAnsi="Courier New" w:cs="Courier New"/>
          <w:i/>
          <w:iCs/>
          <w:sz w:val="22"/>
          <w:szCs w:val="22"/>
        </w:rPr>
        <w:t>tunc</w:t>
      </w:r>
      <w:r w:rsidRPr="00EB7E2C">
        <w:rPr>
          <w:rFonts w:ascii="Courier New" w:hAnsi="Courier New" w:cs="Courier New"/>
          <w:sz w:val="22"/>
          <w:szCs w:val="22"/>
        </w:rPr>
        <w:t xml:space="preserve"> diante do descumprimento do encargo, pois </w:t>
      </w:r>
      <w:r w:rsidRPr="00EB7E2C">
        <w:rPr>
          <w:rFonts w:ascii="Courier New" w:hAnsi="Courier New" w:cs="Courier New"/>
          <w:i/>
          <w:iCs/>
          <w:sz w:val="22"/>
          <w:szCs w:val="22"/>
        </w:rPr>
        <w:t xml:space="preserve">non </w:t>
      </w:r>
      <w:r w:rsidRPr="00EB7E2C">
        <w:rPr>
          <w:rFonts w:ascii="Courier New" w:hAnsi="Courier New" w:cs="Courier New"/>
          <w:i/>
          <w:iCs/>
          <w:sz w:val="22"/>
          <w:szCs w:val="22"/>
        </w:rPr>
        <w:t>omne</w:t>
      </w:r>
      <w:r w:rsidRPr="00EB7E2C">
        <w:rPr>
          <w:rFonts w:ascii="Courier New" w:hAnsi="Courier New" w:cs="Courier New"/>
          <w:i/>
          <w:iCs/>
          <w:sz w:val="22"/>
          <w:szCs w:val="22"/>
        </w:rPr>
        <w:t xml:space="preserve"> quod </w:t>
      </w:r>
      <w:r w:rsidRPr="00EB7E2C">
        <w:rPr>
          <w:rFonts w:ascii="Courier New" w:hAnsi="Courier New" w:cs="Courier New"/>
          <w:i/>
          <w:iCs/>
          <w:sz w:val="22"/>
          <w:szCs w:val="22"/>
        </w:rPr>
        <w:t>licet</w:t>
      </w:r>
      <w:r w:rsidRPr="00EB7E2C">
        <w:rPr>
          <w:rFonts w:ascii="Courier New" w:hAnsi="Courier New" w:cs="Courier New"/>
          <w:i/>
          <w:iCs/>
          <w:sz w:val="22"/>
          <w:szCs w:val="22"/>
        </w:rPr>
        <w:t xml:space="preserve"> </w:t>
      </w:r>
      <w:r w:rsidRPr="00EB7E2C">
        <w:rPr>
          <w:rFonts w:ascii="Courier New" w:hAnsi="Courier New" w:cs="Courier New"/>
          <w:i/>
          <w:iCs/>
          <w:sz w:val="22"/>
          <w:szCs w:val="22"/>
        </w:rPr>
        <w:t>honestum</w:t>
      </w:r>
      <w:r w:rsidRPr="00EB7E2C">
        <w:rPr>
          <w:rFonts w:ascii="Courier New" w:hAnsi="Courier New" w:cs="Courier New"/>
          <w:i/>
          <w:iCs/>
          <w:sz w:val="22"/>
          <w:szCs w:val="22"/>
        </w:rPr>
        <w:t xml:space="preserve"> est</w:t>
      </w:r>
      <w:r w:rsidRPr="00EB7E2C">
        <w:rPr>
          <w:rFonts w:ascii="Courier New" w:hAnsi="Courier New" w:cs="Courier New"/>
          <w:sz w:val="22"/>
          <w:szCs w:val="22"/>
        </w:rPr>
        <w:t xml:space="preserve"> — nem tudo o que é lícito é honesto, e a utilização de bens públicos deve estar perenemente atrelada à retidão e ao benefício concreto da coletividade, em estrita observância ao </w:t>
      </w:r>
      <w:r w:rsidRPr="00EB7E2C">
        <w:rPr>
          <w:rFonts w:ascii="Courier New" w:hAnsi="Courier New" w:cs="Courier New"/>
          <w:b/>
          <w:bCs/>
          <w:sz w:val="22"/>
          <w:szCs w:val="22"/>
        </w:rPr>
        <w:t>Princípio da Justiça Social</w:t>
      </w:r>
      <w:r w:rsidRPr="00EB7E2C">
        <w:rPr>
          <w:rFonts w:ascii="Courier New" w:hAnsi="Courier New" w:cs="Courier New"/>
          <w:sz w:val="22"/>
          <w:szCs w:val="22"/>
        </w:rPr>
        <w:t>.</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7</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7</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66D52"/>
    <w:rsid w:val="00076553"/>
    <w:rsid w:val="00092EEA"/>
    <w:rsid w:val="000B4EDA"/>
    <w:rsid w:val="000B5735"/>
    <w:rsid w:val="000E1F8A"/>
    <w:rsid w:val="000E658D"/>
    <w:rsid w:val="000F672F"/>
    <w:rsid w:val="00105020"/>
    <w:rsid w:val="00106142"/>
    <w:rsid w:val="00124163"/>
    <w:rsid w:val="001277C1"/>
    <w:rsid w:val="00153665"/>
    <w:rsid w:val="00156CD3"/>
    <w:rsid w:val="00156E23"/>
    <w:rsid w:val="001610A9"/>
    <w:rsid w:val="00165F25"/>
    <w:rsid w:val="00176E7E"/>
    <w:rsid w:val="00182771"/>
    <w:rsid w:val="00183AF0"/>
    <w:rsid w:val="001949B0"/>
    <w:rsid w:val="001959EF"/>
    <w:rsid w:val="001A39DE"/>
    <w:rsid w:val="001B42BA"/>
    <w:rsid w:val="001C3AA6"/>
    <w:rsid w:val="001C5FCD"/>
    <w:rsid w:val="001D21A6"/>
    <w:rsid w:val="00200F1C"/>
    <w:rsid w:val="00241452"/>
    <w:rsid w:val="0024425A"/>
    <w:rsid w:val="00245209"/>
    <w:rsid w:val="00257241"/>
    <w:rsid w:val="00270C52"/>
    <w:rsid w:val="0027575E"/>
    <w:rsid w:val="00296637"/>
    <w:rsid w:val="00296EA6"/>
    <w:rsid w:val="002B572E"/>
    <w:rsid w:val="002C14C0"/>
    <w:rsid w:val="002C4498"/>
    <w:rsid w:val="002D25FF"/>
    <w:rsid w:val="002D2C82"/>
    <w:rsid w:val="002D68CE"/>
    <w:rsid w:val="002F169E"/>
    <w:rsid w:val="002F76C7"/>
    <w:rsid w:val="00307AFD"/>
    <w:rsid w:val="003226F4"/>
    <w:rsid w:val="00327030"/>
    <w:rsid w:val="003274BA"/>
    <w:rsid w:val="00332D04"/>
    <w:rsid w:val="00345B10"/>
    <w:rsid w:val="0035352F"/>
    <w:rsid w:val="0035370A"/>
    <w:rsid w:val="00355277"/>
    <w:rsid w:val="00374AF7"/>
    <w:rsid w:val="00377039"/>
    <w:rsid w:val="00386202"/>
    <w:rsid w:val="003A0C73"/>
    <w:rsid w:val="003C0749"/>
    <w:rsid w:val="003C0F80"/>
    <w:rsid w:val="003E0416"/>
    <w:rsid w:val="00401038"/>
    <w:rsid w:val="00402140"/>
    <w:rsid w:val="00426E1A"/>
    <w:rsid w:val="00452524"/>
    <w:rsid w:val="004622A3"/>
    <w:rsid w:val="00465074"/>
    <w:rsid w:val="00466795"/>
    <w:rsid w:val="00481B75"/>
    <w:rsid w:val="004C4CD8"/>
    <w:rsid w:val="004C7ED8"/>
    <w:rsid w:val="004D0063"/>
    <w:rsid w:val="004D1A0E"/>
    <w:rsid w:val="004E4ADA"/>
    <w:rsid w:val="004E6D12"/>
    <w:rsid w:val="004F1BCE"/>
    <w:rsid w:val="004F7A40"/>
    <w:rsid w:val="00507BC0"/>
    <w:rsid w:val="00507EC7"/>
    <w:rsid w:val="00510DC1"/>
    <w:rsid w:val="00515DE2"/>
    <w:rsid w:val="00521BE4"/>
    <w:rsid w:val="00537FEA"/>
    <w:rsid w:val="00564B9E"/>
    <w:rsid w:val="0057381F"/>
    <w:rsid w:val="00580BBB"/>
    <w:rsid w:val="0059377F"/>
    <w:rsid w:val="005C5121"/>
    <w:rsid w:val="005D014E"/>
    <w:rsid w:val="005D1A64"/>
    <w:rsid w:val="005E33D2"/>
    <w:rsid w:val="005F3390"/>
    <w:rsid w:val="005F4015"/>
    <w:rsid w:val="005F4D88"/>
    <w:rsid w:val="00605473"/>
    <w:rsid w:val="00612EC2"/>
    <w:rsid w:val="00617E1A"/>
    <w:rsid w:val="006267C8"/>
    <w:rsid w:val="006319D1"/>
    <w:rsid w:val="00634822"/>
    <w:rsid w:val="00634D61"/>
    <w:rsid w:val="00657DB6"/>
    <w:rsid w:val="0066388F"/>
    <w:rsid w:val="00671F23"/>
    <w:rsid w:val="0068334C"/>
    <w:rsid w:val="0068590A"/>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7229F"/>
    <w:rsid w:val="008844E4"/>
    <w:rsid w:val="008A0234"/>
    <w:rsid w:val="008A26DA"/>
    <w:rsid w:val="008A7123"/>
    <w:rsid w:val="008C2FCC"/>
    <w:rsid w:val="008C42BB"/>
    <w:rsid w:val="008C4586"/>
    <w:rsid w:val="008D0052"/>
    <w:rsid w:val="008D10B2"/>
    <w:rsid w:val="008E2705"/>
    <w:rsid w:val="00923162"/>
    <w:rsid w:val="009269AB"/>
    <w:rsid w:val="0094153C"/>
    <w:rsid w:val="00947FC5"/>
    <w:rsid w:val="00954EDC"/>
    <w:rsid w:val="00962D1C"/>
    <w:rsid w:val="00982017"/>
    <w:rsid w:val="00986774"/>
    <w:rsid w:val="00991752"/>
    <w:rsid w:val="00995807"/>
    <w:rsid w:val="009974FC"/>
    <w:rsid w:val="009A34E3"/>
    <w:rsid w:val="009B5BE4"/>
    <w:rsid w:val="009B7E1C"/>
    <w:rsid w:val="009F6628"/>
    <w:rsid w:val="00A164B8"/>
    <w:rsid w:val="00A23C0E"/>
    <w:rsid w:val="00A331D9"/>
    <w:rsid w:val="00A40DC1"/>
    <w:rsid w:val="00A42886"/>
    <w:rsid w:val="00A442EC"/>
    <w:rsid w:val="00A47FF5"/>
    <w:rsid w:val="00A5470B"/>
    <w:rsid w:val="00A56606"/>
    <w:rsid w:val="00A57636"/>
    <w:rsid w:val="00A60362"/>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535C"/>
    <w:rsid w:val="00C27C97"/>
    <w:rsid w:val="00C31D75"/>
    <w:rsid w:val="00C33914"/>
    <w:rsid w:val="00C372C4"/>
    <w:rsid w:val="00C421B1"/>
    <w:rsid w:val="00C61B9C"/>
    <w:rsid w:val="00C73C43"/>
    <w:rsid w:val="00C93A58"/>
    <w:rsid w:val="00C95BB4"/>
    <w:rsid w:val="00CA4CE7"/>
    <w:rsid w:val="00CC385D"/>
    <w:rsid w:val="00CC4ACB"/>
    <w:rsid w:val="00CD7AA0"/>
    <w:rsid w:val="00D01D06"/>
    <w:rsid w:val="00D148A4"/>
    <w:rsid w:val="00D168E9"/>
    <w:rsid w:val="00D208C4"/>
    <w:rsid w:val="00D30EC1"/>
    <w:rsid w:val="00D31BD0"/>
    <w:rsid w:val="00D33B3A"/>
    <w:rsid w:val="00D34085"/>
    <w:rsid w:val="00D464E5"/>
    <w:rsid w:val="00D550D7"/>
    <w:rsid w:val="00D64727"/>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B7E2C"/>
    <w:rsid w:val="00EE21B7"/>
    <w:rsid w:val="00EE29C1"/>
    <w:rsid w:val="00EF46EB"/>
    <w:rsid w:val="00F41235"/>
    <w:rsid w:val="00F518ED"/>
    <w:rsid w:val="00F554E4"/>
    <w:rsid w:val="00F6335F"/>
    <w:rsid w:val="00F65A30"/>
    <w:rsid w:val="00F87F27"/>
    <w:rsid w:val="00FA5381"/>
    <w:rsid w:val="00FC3520"/>
    <w:rsid w:val="00FC7119"/>
    <w:rsid w:val="00FF0768"/>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017"/>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7</Pages>
  <Words>2882</Words>
  <Characters>15563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60</cp:revision>
  <cp:lastPrinted>2026-05-08T17:15:52Z</cp:lastPrinted>
  <dcterms:created xsi:type="dcterms:W3CDTF">2026-01-09T01:35:00Z</dcterms:created>
  <dcterms:modified xsi:type="dcterms:W3CDTF">2026-05-08T17:09:00Z</dcterms:modified>
</cp:coreProperties>
</file>