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3 ao Projeto de Lei Nº 191/2025</w:t>
      </w:r>
      <w:r w:rsidRPr="00465074">
        <w:rPr>
          <w:rFonts w:ascii="Courier New" w:hAnsi="Courier New" w:cs="Courier New"/>
          <w:b/>
          <w:bCs/>
          <w:kern w:val="3"/>
          <w:sz w:val="24"/>
          <w:szCs w:val="24"/>
        </w:rPr>
        <w:t>Emenda Nº 3 ao Projeto de Lei Nº 191/2025</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1E48B0D2">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Pr="005831E1" w:rsidR="005831E1">
        <w:rPr>
          <w:rFonts w:ascii="Courier New" w:hAnsi="Courier New" w:cs="Courier New"/>
          <w:i/>
          <w:iCs/>
          <w:kern w:val="3"/>
          <w:sz w:val="22"/>
          <w:szCs w:val="22"/>
        </w:rPr>
        <w:t>MODIFICATIVA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C44517">
        <w:rPr>
          <w:rFonts w:ascii="Courier New" w:hAnsi="Courier New" w:cs="Courier New"/>
          <w:i/>
          <w:iCs/>
          <w:kern w:val="3"/>
          <w:sz w:val="22"/>
          <w:szCs w:val="22"/>
        </w:rPr>
        <w:t>191/2025</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7F34EF5E">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 xml:space="preserve">Modifica </w:t>
      </w:r>
      <w:r w:rsidR="000E1F8A">
        <w:rPr>
          <w:rFonts w:ascii="Courier New" w:hAnsi="Courier New" w:cs="Courier New"/>
          <w:sz w:val="22"/>
          <w:szCs w:val="22"/>
        </w:rPr>
        <w:t xml:space="preserve">o </w:t>
      </w:r>
      <w:r w:rsidRPr="00E144CB" w:rsidR="00E144CB">
        <w:rPr>
          <w:rFonts w:ascii="Courier New" w:hAnsi="Courier New" w:cs="Courier New"/>
          <w:sz w:val="22"/>
          <w:szCs w:val="22"/>
        </w:rPr>
        <w:t xml:space="preserve">Art. </w:t>
      </w:r>
      <w:r w:rsidR="00C44517">
        <w:rPr>
          <w:rFonts w:ascii="Courier New" w:hAnsi="Courier New" w:cs="Courier New"/>
          <w:sz w:val="22"/>
          <w:szCs w:val="22"/>
        </w:rPr>
        <w:t>4</w:t>
      </w:r>
      <w:r w:rsidRPr="00E144CB" w:rsidR="00E144CB">
        <w:rPr>
          <w:rFonts w:ascii="Courier New" w:hAnsi="Courier New" w:cs="Courier New"/>
          <w:sz w:val="22"/>
          <w:szCs w:val="22"/>
        </w:rPr>
        <w:t xml:space="preserve">º do Projeto de Lei nº </w:t>
      </w:r>
      <w:r w:rsidR="00C44517">
        <w:rPr>
          <w:rFonts w:ascii="Courier New" w:hAnsi="Courier New" w:cs="Courier New"/>
          <w:sz w:val="22"/>
          <w:szCs w:val="22"/>
        </w:rPr>
        <w:t>191/2025</w:t>
      </w:r>
      <w:r w:rsidRPr="00E144CB" w:rsidR="00E144CB">
        <w:rPr>
          <w:rFonts w:ascii="Courier New" w:hAnsi="Courier New" w:cs="Courier New"/>
          <w:sz w:val="22"/>
          <w:szCs w:val="22"/>
        </w:rPr>
        <w:t xml:space="preserve">,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AB501C" w:rsidP="00010A9F" w14:paraId="4ACEE127" w14:textId="5BDFC470">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E144CB" w:rsidR="00E144CB">
        <w:rPr>
          <w:rFonts w:ascii="Courier New" w:hAnsi="Courier New" w:cs="Courier New"/>
          <w:b/>
          <w:bCs/>
          <w:sz w:val="22"/>
          <w:szCs w:val="22"/>
        </w:rPr>
        <w:t xml:space="preserve">Art. </w:t>
      </w:r>
      <w:r w:rsidR="00C44517">
        <w:rPr>
          <w:rFonts w:ascii="Courier New" w:hAnsi="Courier New" w:cs="Courier New"/>
          <w:b/>
          <w:bCs/>
          <w:sz w:val="22"/>
          <w:szCs w:val="22"/>
        </w:rPr>
        <w:t>4º.</w:t>
      </w:r>
      <w:r w:rsidRPr="005831E1" w:rsidR="005831E1">
        <w:rPr>
          <w:rFonts w:ascii="Courier New" w:hAnsi="Courier New" w:cs="Courier New"/>
          <w:sz w:val="22"/>
          <w:szCs w:val="22"/>
        </w:rPr>
        <w:t xml:space="preserve"> </w:t>
      </w:r>
      <w:r w:rsidRPr="00C44517" w:rsidR="00C44517">
        <w:rPr>
          <w:rFonts w:ascii="Courier New" w:hAnsi="Courier New" w:cs="Courier New"/>
          <w:sz w:val="22"/>
          <w:szCs w:val="22"/>
        </w:rPr>
        <w:t>O Poder Executivo poderá regulamentar esta Lei no que couber, inclusive quanto aos procedimentos, prazos e análise documental, observada a legislação tributária municipal vigente para fins de cobrança de eventuais taxas, sendo vedada a instituição ou majoração de tributos por meio de decreto.</w:t>
      </w:r>
    </w:p>
    <w:p w:rsidR="00E079A8" w:rsidP="00010A9F" w14:paraId="73D44D49"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19C86649">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8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64648"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C44517" w:rsidP="00D365E5" w14:paraId="7585477F" w14:textId="77777777">
      <w:pPr>
        <w:spacing w:before="120" w:after="120" w:line="276" w:lineRule="auto"/>
        <w:ind w:firstLine="567"/>
        <w:jc w:val="both"/>
        <w:rPr>
          <w:rFonts w:ascii="Courier New" w:hAnsi="Courier New" w:cs="Courier New"/>
          <w:sz w:val="22"/>
          <w:szCs w:val="22"/>
        </w:rPr>
      </w:pPr>
      <w:r w:rsidRPr="00C44517">
        <w:rPr>
          <w:rFonts w:ascii="Courier New" w:hAnsi="Courier New" w:cs="Courier New"/>
          <w:sz w:val="22"/>
          <w:szCs w:val="22"/>
        </w:rPr>
        <w:t>A presente emenda objetiva salvaguardar a constitucionalidade do projeto em apreço, assegurando a estrita observância ao Princípio da Legalidade Tributária e ao postulado da Reserva de Lei, conforme delineado no Artigo 150, inciso I, da Constituição Federal</w:t>
      </w:r>
      <w:r>
        <w:rPr>
          <w:rFonts w:ascii="Courier New" w:hAnsi="Courier New" w:cs="Courier New"/>
          <w:sz w:val="22"/>
          <w:szCs w:val="22"/>
        </w:rPr>
        <w:t>:</w:t>
      </w:r>
    </w:p>
    <w:p w:rsidR="00C44517" w:rsidP="00D365E5" w14:paraId="5839622A" w14:textId="77777777">
      <w:pPr>
        <w:spacing w:before="120" w:after="120" w:line="276" w:lineRule="auto"/>
        <w:ind w:firstLine="567"/>
        <w:jc w:val="both"/>
        <w:rPr>
          <w:rFonts w:ascii="Courier New" w:hAnsi="Courier New" w:cs="Courier New"/>
          <w:sz w:val="22"/>
          <w:szCs w:val="22"/>
        </w:rPr>
      </w:pPr>
    </w:p>
    <w:p w:rsidR="00C44517" w:rsidRPr="00C44517" w:rsidP="00C44517" w14:paraId="156FF0EA" w14:textId="77777777">
      <w:pPr>
        <w:pBdr>
          <w:left w:val="single" w:sz="4" w:space="4" w:color="auto"/>
          <w:right w:val="single" w:sz="4" w:space="4" w:color="auto"/>
        </w:pBdr>
        <w:ind w:left="1701"/>
        <w:jc w:val="both"/>
        <w:rPr>
          <w:rFonts w:ascii="Courier New" w:hAnsi="Courier New" w:cs="Courier New"/>
        </w:rPr>
      </w:pPr>
      <w:r w:rsidRPr="00C44517">
        <w:rPr>
          <w:rFonts w:ascii="Courier New" w:hAnsi="Courier New" w:cs="Courier New"/>
          <w:b/>
          <w:bCs/>
        </w:rPr>
        <w:t>Art. 150.</w:t>
      </w:r>
      <w:r w:rsidRPr="00C44517">
        <w:rPr>
          <w:rFonts w:ascii="Courier New" w:hAnsi="Courier New" w:cs="Courier New"/>
        </w:rPr>
        <w:t xml:space="preserve"> Sem prejuízo de outras garantias asseguradas ao contribuinte, é vedado à União, aos Estados, ao Distrito Federal e aos Municípios:</w:t>
      </w:r>
    </w:p>
    <w:p w:rsidR="00C44517" w:rsidP="00C44517" w14:paraId="513F9DD9" w14:textId="1F4B5020">
      <w:pPr>
        <w:pBdr>
          <w:left w:val="single" w:sz="4" w:space="4" w:color="auto"/>
          <w:right w:val="single" w:sz="4" w:space="4" w:color="auto"/>
        </w:pBdr>
        <w:ind w:left="1701"/>
        <w:jc w:val="both"/>
        <w:rPr>
          <w:rFonts w:ascii="Courier New" w:hAnsi="Courier New" w:cs="Courier New"/>
        </w:rPr>
      </w:pPr>
      <w:r w:rsidRPr="00C44517">
        <w:rPr>
          <w:rFonts w:ascii="Courier New" w:hAnsi="Courier New" w:cs="Courier New"/>
          <w:b/>
          <w:bCs/>
        </w:rPr>
        <w:t>I -</w:t>
      </w:r>
      <w:r w:rsidRPr="00C44517">
        <w:rPr>
          <w:rFonts w:ascii="Courier New" w:hAnsi="Courier New" w:cs="Courier New"/>
        </w:rPr>
        <w:t xml:space="preserve"> exigir ou aumentar tributo sem lei que o estabeleça;</w:t>
      </w:r>
    </w:p>
    <w:p w:rsidR="00C44517" w:rsidP="00D365E5" w14:paraId="0C57AC50" w14:textId="77777777">
      <w:pPr>
        <w:spacing w:before="120" w:after="120" w:line="276" w:lineRule="auto"/>
        <w:ind w:firstLine="567"/>
        <w:jc w:val="both"/>
        <w:rPr>
          <w:rFonts w:ascii="Courier New" w:hAnsi="Courier New" w:cs="Courier New"/>
          <w:sz w:val="22"/>
          <w:szCs w:val="22"/>
        </w:rPr>
      </w:pPr>
    </w:p>
    <w:p w:rsidR="00C44517" w:rsidP="00D365E5" w14:paraId="015B9B5C" w14:textId="77777777">
      <w:pPr>
        <w:spacing w:before="120" w:after="120" w:line="276" w:lineRule="auto"/>
        <w:ind w:firstLine="567"/>
        <w:jc w:val="both"/>
        <w:rPr>
          <w:rFonts w:ascii="Courier New" w:hAnsi="Courier New" w:cs="Courier New"/>
          <w:sz w:val="22"/>
          <w:szCs w:val="22"/>
        </w:rPr>
      </w:pPr>
      <w:r w:rsidRPr="00C44517">
        <w:rPr>
          <w:rFonts w:ascii="Courier New" w:hAnsi="Courier New" w:cs="Courier New"/>
          <w:sz w:val="22"/>
          <w:szCs w:val="22"/>
        </w:rPr>
        <w:t xml:space="preserve">Sob a égide do milenar brocardo </w:t>
      </w:r>
      <w:r w:rsidRPr="00C44517">
        <w:rPr>
          <w:rFonts w:ascii="Courier New" w:hAnsi="Courier New" w:cs="Courier New"/>
          <w:i/>
          <w:iCs/>
          <w:sz w:val="22"/>
          <w:szCs w:val="22"/>
        </w:rPr>
        <w:t>nullum</w:t>
      </w:r>
      <w:r w:rsidRPr="00C44517">
        <w:rPr>
          <w:rFonts w:ascii="Courier New" w:hAnsi="Courier New" w:cs="Courier New"/>
          <w:i/>
          <w:iCs/>
          <w:sz w:val="22"/>
          <w:szCs w:val="22"/>
        </w:rPr>
        <w:t xml:space="preserve"> tributum </w:t>
      </w:r>
      <w:r w:rsidRPr="00C44517">
        <w:rPr>
          <w:rFonts w:ascii="Courier New" w:hAnsi="Courier New" w:cs="Courier New"/>
          <w:i/>
          <w:iCs/>
          <w:sz w:val="22"/>
          <w:szCs w:val="22"/>
        </w:rPr>
        <w:t>sine</w:t>
      </w:r>
      <w:r w:rsidRPr="00C44517">
        <w:rPr>
          <w:rFonts w:ascii="Courier New" w:hAnsi="Courier New" w:cs="Courier New"/>
          <w:i/>
          <w:iCs/>
          <w:sz w:val="22"/>
          <w:szCs w:val="22"/>
        </w:rPr>
        <w:t xml:space="preserve"> lege</w:t>
      </w:r>
      <w:r w:rsidRPr="00C44517">
        <w:rPr>
          <w:rFonts w:ascii="Courier New" w:hAnsi="Courier New" w:cs="Courier New"/>
          <w:sz w:val="22"/>
          <w:szCs w:val="22"/>
        </w:rPr>
        <w:t xml:space="preserve">, veda-se de forma absoluta que o Poder Executivo, sob o pretexto de regulamentação, institua ou majore tributos por intermédio de atos infralegais, o que configuraria usurpação de competência legislativa e grave afronta ao </w:t>
      </w:r>
      <w:r w:rsidRPr="00C44517">
        <w:rPr>
          <w:rFonts w:ascii="Courier New" w:hAnsi="Courier New" w:cs="Courier New"/>
          <w:b/>
          <w:bCs/>
          <w:sz w:val="22"/>
          <w:szCs w:val="22"/>
        </w:rPr>
        <w:t>Princípio da Separação dos Poderes</w:t>
      </w:r>
      <w:r w:rsidRPr="00C44517">
        <w:rPr>
          <w:rFonts w:ascii="Courier New" w:hAnsi="Courier New" w:cs="Courier New"/>
          <w:sz w:val="22"/>
          <w:szCs w:val="22"/>
        </w:rPr>
        <w:t>.</w:t>
      </w:r>
    </w:p>
    <w:p w:rsidR="00C44517" w:rsidP="00D365E5" w14:paraId="2E1CF372" w14:textId="77777777">
      <w:pPr>
        <w:spacing w:before="120" w:after="120" w:line="276" w:lineRule="auto"/>
        <w:ind w:firstLine="567"/>
        <w:jc w:val="both"/>
        <w:rPr>
          <w:rFonts w:ascii="Courier New" w:hAnsi="Courier New" w:cs="Courier New"/>
          <w:sz w:val="22"/>
          <w:szCs w:val="22"/>
        </w:rPr>
      </w:pPr>
      <w:r w:rsidRPr="00C44517">
        <w:rPr>
          <w:rFonts w:ascii="Courier New" w:hAnsi="Courier New" w:cs="Courier New"/>
          <w:sz w:val="22"/>
          <w:szCs w:val="22"/>
        </w:rPr>
        <w:t xml:space="preserve">A alteração proposta visa expurgar qualquer ambiguidade textual que pudesse dar azo à criação de taxas administrativas desprovidas de lastro legal, homenageando o </w:t>
      </w:r>
      <w:r w:rsidRPr="00C44517">
        <w:rPr>
          <w:rFonts w:ascii="Courier New" w:hAnsi="Courier New" w:cs="Courier New"/>
          <w:b/>
          <w:bCs/>
          <w:sz w:val="22"/>
          <w:szCs w:val="22"/>
        </w:rPr>
        <w:t>Princípio da Tipicidade Cerrada</w:t>
      </w:r>
      <w:r w:rsidRPr="00C44517">
        <w:rPr>
          <w:rFonts w:ascii="Courier New" w:hAnsi="Courier New" w:cs="Courier New"/>
          <w:sz w:val="22"/>
          <w:szCs w:val="22"/>
        </w:rPr>
        <w:t xml:space="preserve"> e </w:t>
      </w:r>
      <w:r>
        <w:rPr>
          <w:rFonts w:ascii="Courier New" w:hAnsi="Courier New" w:cs="Courier New"/>
          <w:sz w:val="22"/>
          <w:szCs w:val="22"/>
        </w:rPr>
        <w:t>d</w:t>
      </w:r>
      <w:r w:rsidRPr="00C44517">
        <w:rPr>
          <w:rFonts w:ascii="Courier New" w:hAnsi="Courier New" w:cs="Courier New"/>
          <w:sz w:val="22"/>
          <w:szCs w:val="22"/>
        </w:rPr>
        <w:t xml:space="preserve">a </w:t>
      </w:r>
      <w:r w:rsidRPr="00C44517">
        <w:rPr>
          <w:rFonts w:ascii="Courier New" w:hAnsi="Courier New" w:cs="Courier New"/>
          <w:b/>
          <w:bCs/>
          <w:sz w:val="22"/>
          <w:szCs w:val="22"/>
        </w:rPr>
        <w:t>Segurança Jurídica</w:t>
      </w:r>
      <w:r w:rsidRPr="00C44517">
        <w:rPr>
          <w:rFonts w:ascii="Courier New" w:hAnsi="Courier New" w:cs="Courier New"/>
          <w:sz w:val="22"/>
          <w:szCs w:val="22"/>
        </w:rPr>
        <w:t>, de sorte que o exercício do poder regulamentar se limite à fiel execução da lei, sem transbordar para o arbítrio.</w:t>
      </w:r>
    </w:p>
    <w:p w:rsidR="00727F76" w:rsidP="00D365E5" w14:paraId="752BACC9" w14:textId="757A51FC">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Faz-se saber que o</w:t>
      </w:r>
      <w:r w:rsidRPr="00727F76">
        <w:rPr>
          <w:rFonts w:ascii="Courier New" w:hAnsi="Courier New" w:cs="Courier New"/>
          <w:sz w:val="22"/>
          <w:szCs w:val="22"/>
        </w:rPr>
        <w:t xml:space="preserve"> Supremo Tribunal Federal reafirma que o Poder Legislativo pode emendar projetos de iniciativa reservada, desde que não haja aumento de despesa e se mantenha a pertinência temática. No caso da sua emenda, ela visa apenas garantir a observância da Constituição Federal (Art. 150, I), não gerando custos adicionais</w:t>
      </w:r>
      <w:r>
        <w:rPr>
          <w:rFonts w:ascii="Courier New" w:hAnsi="Courier New" w:cs="Courier New"/>
          <w:sz w:val="22"/>
          <w:szCs w:val="22"/>
        </w:rPr>
        <w:t>:</w:t>
      </w:r>
    </w:p>
    <w:p w:rsidR="00727F76" w:rsidP="00D365E5" w14:paraId="0090D9D9" w14:textId="77777777">
      <w:pPr>
        <w:spacing w:before="120" w:after="120" w:line="276" w:lineRule="auto"/>
        <w:ind w:firstLine="567"/>
        <w:jc w:val="both"/>
        <w:rPr>
          <w:rFonts w:ascii="Courier New" w:hAnsi="Courier New" w:cs="Courier New"/>
          <w:sz w:val="22"/>
          <w:szCs w:val="22"/>
        </w:rPr>
      </w:pPr>
    </w:p>
    <w:p w:rsidR="00727F76" w:rsidP="00727F76" w14:paraId="7F83B94F" w14:textId="74CF58C6">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DIREITO CONSTITUCIONAL. AÇÃO DIRETA DE INCONSTITUCIONALIDADE. EXPRESSÃO ORIUNDA DE EMENDA PARLAMENTAR A PROJETO DE LEI DE INICIATIVA DO TRIBUNAL DE JUSTIÇA DE SANTA CATARINA. AUMENTO DE DESPESA DECORRENTE DE PROPOSIÇÃO LEGISLATIVA. EXPRESSÃO TUBARÃO, CONTIDA NO CAPUT E NO INCISO I DO ART. 1º DA LEI COMPLEMENTAR Nº 398, DE 05.12.2007, DO ESTADO DE SANTA CATARINA. VIOLAÇÃO AOS ARTS. 2º, 63, INCISOS, E 96, II, D, DA CONSTITUIÇÃO FEDERAL. JURISPRUDÊNCIA PACÍFICA E DOMINANTE. PRECEDENTES. 1.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importarem aumento de despesa e; (</w:t>
      </w:r>
      <w:r w:rsidRPr="00727F76">
        <w:rPr>
          <w:rFonts w:ascii="Courier New" w:hAnsi="Courier New" w:cs="Courier New"/>
        </w:rPr>
        <w:t>ii</w:t>
      </w:r>
      <w:r w:rsidRPr="00727F76">
        <w:rPr>
          <w:rFonts w:ascii="Courier New" w:hAnsi="Courier New" w:cs="Courier New"/>
        </w:rPr>
        <w:t xml:space="preserve">) manterem pertinência temática com o objeto do projeto de lei. Nesse sentido: ADI 1.050-MC, Rel. Min. Celso de Mello; ADI 1.333, Rel. Min. </w:t>
      </w:r>
      <w:r w:rsidRPr="00727F76">
        <w:rPr>
          <w:rFonts w:ascii="Courier New" w:hAnsi="Courier New" w:cs="Courier New"/>
        </w:rPr>
        <w:t>Cármen</w:t>
      </w:r>
      <w:r w:rsidRPr="00727F76">
        <w:rPr>
          <w:rFonts w:ascii="Courier New" w:hAnsi="Courier New" w:cs="Courier New"/>
        </w:rPr>
        <w:t xml:space="preserve"> Lúcia; ADI 2.569, Rel. Min. Carlos Velloso. 2. A Constituição Federal estabelece que compete ao Tribunal de Justiça a iniciativa legislativa a respeito da alteração da organização e da divisão judiciárias (art. 96, II, d). Nesse sentido: </w:t>
      </w:r>
      <w:r w:rsidRPr="00727F76">
        <w:rPr>
          <w:rFonts w:ascii="Courier New" w:hAnsi="Courier New" w:cs="Courier New"/>
        </w:rPr>
        <w:t>ADI-MC</w:t>
      </w:r>
      <w:r w:rsidRPr="00727F76">
        <w:rPr>
          <w:rFonts w:ascii="Courier New" w:hAnsi="Courier New" w:cs="Courier New"/>
        </w:rPr>
        <w:t xml:space="preserve"> 1.834, </w:t>
      </w:r>
      <w:r w:rsidRPr="00727F76">
        <w:rPr>
          <w:rFonts w:ascii="Courier New" w:hAnsi="Courier New" w:cs="Courier New"/>
        </w:rPr>
        <w:t xml:space="preserve">Rel. Min. Maurício Corrêa, Plenário. 3. No projeto de lei inicial encaminhado pelo Tribunal de Justiça à Assembleia Legislativa do Estado de Santa Catarina não havia nenhuma referência à elevação para entrância especial da Comarca de Tubarão, de modo que tal alteração é fruto de emenda parlamentar. Entretanto, tal proposição alternativa não fez qualquer estudo sobre a necessidade ou previsão orçamentária para promover referida alteração legislativa, ocasionado aumento de despesa ao Tribunal de Justiça do Estado de Santa Catarina, o que lhe confere vício de inconstitucionalidade formal. Nesses casos de desrespeito aos limites do poder de emenda, esta Corte Suprema entende haver ofensa ao princípio da separação de poderes (art. 2º, CF). 4. Ação direta de inconstitucionalidade cujo pedido se julga procedente, para declarar a inconstitucionalidade parcial do caput e do inciso I do art. 1º da Lei Complementar nº 398, de 05.12.2007, do Estado de Santa Catarina, com redução de texto da expressão Tubarão. (ADI 4062, Relator (a): Min. ROBERTO BARROSO, Tribunal Pleno, julgado em 23/08/2019, ACÓRDÃO ELETRÔNICO DJe-277 </w:t>
      </w:r>
      <w:r w:rsidRPr="00727F76">
        <w:rPr>
          <w:rFonts w:ascii="Courier New" w:hAnsi="Courier New" w:cs="Courier New"/>
        </w:rPr>
        <w:t>DIVULG</w:t>
      </w:r>
      <w:r w:rsidRPr="00727F76">
        <w:rPr>
          <w:rFonts w:ascii="Courier New" w:hAnsi="Courier New" w:cs="Courier New"/>
        </w:rPr>
        <w:t xml:space="preserve"> 12-12-2019 </w:t>
      </w:r>
      <w:r w:rsidRPr="00727F76">
        <w:rPr>
          <w:rFonts w:ascii="Courier New" w:hAnsi="Courier New" w:cs="Courier New"/>
        </w:rPr>
        <w:t>PUBLIC</w:t>
      </w:r>
      <w:r w:rsidRPr="00727F76">
        <w:rPr>
          <w:rFonts w:ascii="Courier New" w:hAnsi="Courier New" w:cs="Courier New"/>
        </w:rPr>
        <w:t xml:space="preserve"> 13-12-2019)</w:t>
      </w:r>
    </w:p>
    <w:p w:rsidR="00727F76" w:rsidP="00D365E5" w14:paraId="781BF482" w14:textId="77777777">
      <w:pPr>
        <w:spacing w:before="120" w:after="120" w:line="276" w:lineRule="auto"/>
        <w:ind w:firstLine="567"/>
        <w:jc w:val="both"/>
        <w:rPr>
          <w:rFonts w:ascii="Courier New" w:hAnsi="Courier New" w:cs="Courier New"/>
          <w:sz w:val="22"/>
          <w:szCs w:val="22"/>
        </w:rPr>
      </w:pPr>
    </w:p>
    <w:p w:rsidR="00727F76" w:rsidP="00D365E5" w14:paraId="4653A47F" w14:textId="0CC8255F">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Reforça-se que </w:t>
      </w:r>
      <w:r w:rsidRPr="00727F76">
        <w:rPr>
          <w:rFonts w:ascii="Courier New" w:hAnsi="Courier New" w:cs="Courier New"/>
          <w:sz w:val="22"/>
          <w:szCs w:val="22"/>
        </w:rPr>
        <w:t>a iniciativa reservada ao Chefe do Executivo não impede a apresentação de emendas parlamentares, contanto que estas guardem relação com o objeto do projeto original e não onerem o erário além do previsto</w:t>
      </w:r>
      <w:r>
        <w:rPr>
          <w:rFonts w:ascii="Courier New" w:hAnsi="Courier New" w:cs="Courier New"/>
          <w:sz w:val="22"/>
          <w:szCs w:val="22"/>
        </w:rPr>
        <w:t>:</w:t>
      </w:r>
    </w:p>
    <w:p w:rsidR="00727F76" w:rsidP="00D365E5" w14:paraId="05C45FCC" w14:textId="77777777">
      <w:pPr>
        <w:spacing w:before="120" w:after="120" w:line="276" w:lineRule="auto"/>
        <w:ind w:firstLine="567"/>
        <w:jc w:val="both"/>
        <w:rPr>
          <w:rFonts w:ascii="Courier New" w:hAnsi="Courier New" w:cs="Courier New"/>
          <w:sz w:val="22"/>
          <w:szCs w:val="22"/>
        </w:rPr>
      </w:pPr>
    </w:p>
    <w:p w:rsidR="00727F76" w:rsidP="00727F76" w14:paraId="1115B528" w14:textId="4D0E1EEE">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w:t>
      </w:r>
      <w:r w:rsidRPr="00727F76">
        <w:rPr>
          <w:rFonts w:ascii="Courier New" w:hAnsi="Courier New" w:cs="Courier New"/>
        </w:rPr>
        <w:t>ii</w:t>
      </w:r>
      <w:r w:rsidRPr="00727F76">
        <w:rPr>
          <w:rFonts w:ascii="Courier New" w:hAnsi="Courier New" w:cs="Courier New"/>
        </w:rPr>
        <w:t xml:space="preserve">) mantenham pertinência temática com o objeto do projeto de lei. 3. A emenda parlamentar objeto da presente ação acarretou em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w:t>
      </w:r>
      <w:r w:rsidRPr="00727F76">
        <w:rPr>
          <w:rFonts w:ascii="Courier New" w:hAnsi="Courier New" w:cs="Courier New"/>
        </w:rPr>
        <w:t>tornado-as</w:t>
      </w:r>
      <w:r w:rsidRPr="00727F76">
        <w:rPr>
          <w:rFonts w:ascii="Courier New" w:hAnsi="Courier New" w:cs="Courier New"/>
        </w:rPr>
        <w:t xml:space="preserve"> mais frequentes. 4. Ação direta de </w:t>
      </w:r>
      <w:r w:rsidRPr="00727F76">
        <w:rPr>
          <w:rFonts w:ascii="Courier New" w:hAnsi="Courier New" w:cs="Courier New"/>
        </w:rPr>
        <w:t>inconstitucionalidade cujo pedido se julga procedente.</w:t>
      </w:r>
      <w:r>
        <w:rPr>
          <w:rFonts w:ascii="Courier New" w:hAnsi="Courier New" w:cs="Courier New"/>
        </w:rPr>
        <w:t xml:space="preserve"> </w:t>
      </w:r>
      <w:r w:rsidRPr="00727F76">
        <w:rPr>
          <w:rFonts w:ascii="Courier New" w:hAnsi="Courier New" w:cs="Courier New"/>
        </w:rPr>
        <w:t>(STF - ADI: 6072 RS, Relator: ROBERTO BARROSO, Data de Julgamento: 30/08/2019, Tribunal Pleno, Data de Publicação: 16/09/2019)</w:t>
      </w:r>
    </w:p>
    <w:p w:rsidR="00727F76" w:rsidP="00D365E5" w14:paraId="176B7935" w14:textId="77777777">
      <w:pPr>
        <w:spacing w:before="120" w:after="120" w:line="276" w:lineRule="auto"/>
        <w:ind w:firstLine="567"/>
        <w:jc w:val="both"/>
        <w:rPr>
          <w:rFonts w:ascii="Courier New" w:hAnsi="Courier New" w:cs="Courier New"/>
          <w:sz w:val="22"/>
          <w:szCs w:val="22"/>
        </w:rPr>
      </w:pPr>
    </w:p>
    <w:p w:rsidR="00727F76" w:rsidP="00D365E5" w14:paraId="004C1DF7" w14:textId="5B312881">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Também, o</w:t>
      </w:r>
      <w:r w:rsidRPr="00727F76">
        <w:rPr>
          <w:rFonts w:ascii="Courier New" w:hAnsi="Courier New" w:cs="Courier New"/>
          <w:sz w:val="22"/>
          <w:szCs w:val="22"/>
        </w:rPr>
        <w:t xml:space="preserve"> tribunal destaca que a possibilidade de emenda é inerente à função legislativa, servindo para aperfeiçoar o texto legal e garantir sua conformidade com o ordenamento jurídico superior, como o Princípio da Legalidade Tributária</w:t>
      </w:r>
      <w:r>
        <w:rPr>
          <w:rFonts w:ascii="Courier New" w:hAnsi="Courier New" w:cs="Courier New"/>
          <w:sz w:val="22"/>
          <w:szCs w:val="22"/>
        </w:rPr>
        <w:t>:</w:t>
      </w:r>
    </w:p>
    <w:p w:rsidR="00727F76" w:rsidP="00D365E5" w14:paraId="480658B1" w14:textId="77777777">
      <w:pPr>
        <w:spacing w:before="120" w:after="120" w:line="276" w:lineRule="auto"/>
        <w:ind w:firstLine="567"/>
        <w:jc w:val="both"/>
        <w:rPr>
          <w:rFonts w:ascii="Courier New" w:hAnsi="Courier New" w:cs="Courier New"/>
          <w:sz w:val="22"/>
          <w:szCs w:val="22"/>
        </w:rPr>
      </w:pPr>
    </w:p>
    <w:p w:rsidR="00727F76" w:rsidP="00727F76" w14:paraId="3AB89A2C" w14:textId="52E1D160">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 xml:space="preserve">Direito Constitucional. Ação Direta de Inconstitucionalidade. Processo Legislativo. Lei de Iniciativa Reservada ao Poder Executivo. Emenda Parlamentar sem Estreita Relação de Pertinência com o Objeto do Projeto Encaminhado pelo Executivo. Vício de iniciativa. Inconstitucionalidade. Precedentes. 1. A jurisprudência do Supremo Tribunal Federal é firme no sentido de que o Poder Legislativo pode emendar projeto de iniciativa privativa do chefe do Poder Executivo, desde que não ocorra aumento de despesa e haja estreita pertinência das emendas com o objeto do projeto encaminhado ao Legislativo, mesmo que digam respeito à mesma matéria. Nesse sentido: ADI 546, Rel. Min. Moreira Alves, j. em 11.3.1999. DJ de 14. 4.2000; ADI 973-MC, Rel. Min. Celso de Mello, j. em 17.12.1993, DJ 19.12.2006; ADI 2.305, Rel. Min. Cezar Peluso, j. em 30.06.2011, DJ 05.08.2011; e ADI 1.333, Rel. Min. </w:t>
      </w:r>
      <w:r w:rsidRPr="00727F76">
        <w:rPr>
          <w:rFonts w:ascii="Courier New" w:hAnsi="Courier New" w:cs="Courier New"/>
        </w:rPr>
        <w:t>Cármen</w:t>
      </w:r>
      <w:r w:rsidRPr="00727F76">
        <w:rPr>
          <w:rFonts w:ascii="Courier New" w:hAnsi="Courier New" w:cs="Courier New"/>
        </w:rPr>
        <w:t xml:space="preserve"> Lúcia, j. em 29.10.2014, </w:t>
      </w:r>
      <w:r w:rsidRPr="00727F76">
        <w:rPr>
          <w:rFonts w:ascii="Courier New" w:hAnsi="Courier New" w:cs="Courier New"/>
        </w:rPr>
        <w:t>DJE</w:t>
      </w:r>
      <w:r w:rsidRPr="00727F76">
        <w:rPr>
          <w:rFonts w:ascii="Courier New" w:hAnsi="Courier New" w:cs="Courier New"/>
        </w:rPr>
        <w:t xml:space="preserve"> 18.11.2014. 2. Ação direta de inconstitucionalidade cujo pedido se julga procedente.</w:t>
      </w:r>
      <w:r>
        <w:rPr>
          <w:rFonts w:ascii="Courier New" w:hAnsi="Courier New" w:cs="Courier New"/>
        </w:rPr>
        <w:t xml:space="preserve"> </w:t>
      </w:r>
      <w:r w:rsidRPr="00727F76">
        <w:rPr>
          <w:rFonts w:ascii="Courier New" w:hAnsi="Courier New" w:cs="Courier New"/>
        </w:rPr>
        <w:t>(STF - ADI: 3655 TO, Relator: ROBERTO BARROSO, Data de Julgamento: 03/03/2016, Tribunal Pleno, Data de Publicação: 15/04/2016)</w:t>
      </w:r>
    </w:p>
    <w:p w:rsidR="00727F76" w:rsidP="00D365E5" w14:paraId="22E80946" w14:textId="77777777">
      <w:pPr>
        <w:spacing w:before="120" w:after="120" w:line="276" w:lineRule="auto"/>
        <w:ind w:firstLine="567"/>
        <w:jc w:val="both"/>
        <w:rPr>
          <w:rFonts w:ascii="Courier New" w:hAnsi="Courier New" w:cs="Courier New"/>
          <w:sz w:val="22"/>
          <w:szCs w:val="22"/>
        </w:rPr>
      </w:pPr>
    </w:p>
    <w:p w:rsidR="00727F76" w:rsidP="00D365E5" w14:paraId="2F2ED852" w14:textId="13F9FB7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Ademais, o</w:t>
      </w:r>
      <w:r w:rsidRPr="00727F76">
        <w:rPr>
          <w:rFonts w:ascii="Courier New" w:hAnsi="Courier New" w:cs="Courier New"/>
          <w:sz w:val="22"/>
          <w:szCs w:val="22"/>
        </w:rPr>
        <w:t xml:space="preserve"> </w:t>
      </w:r>
      <w:r>
        <w:rPr>
          <w:rFonts w:ascii="Courier New" w:hAnsi="Courier New" w:cs="Courier New"/>
          <w:sz w:val="22"/>
          <w:szCs w:val="22"/>
        </w:rPr>
        <w:t xml:space="preserve">TJ-MG </w:t>
      </w:r>
      <w:r w:rsidRPr="00727F76">
        <w:rPr>
          <w:rFonts w:ascii="Courier New" w:hAnsi="Courier New" w:cs="Courier New"/>
          <w:sz w:val="22"/>
          <w:szCs w:val="22"/>
        </w:rPr>
        <w:t>reconhece que a previsão de iniciativa reservada não impede que o projeto seja objeto de emendas parlamentares. A legitimidade do vereador é plena quando a emenda visa adequar o projeto aos princípios constitucionais, sem criar despesas novas para a administração</w:t>
      </w:r>
      <w:r>
        <w:rPr>
          <w:rFonts w:ascii="Courier New" w:hAnsi="Courier New" w:cs="Courier New"/>
          <w:sz w:val="22"/>
          <w:szCs w:val="22"/>
        </w:rPr>
        <w:t>:</w:t>
      </w:r>
    </w:p>
    <w:p w:rsidR="00727F76" w:rsidP="00D365E5" w14:paraId="0E300938" w14:textId="77777777">
      <w:pPr>
        <w:spacing w:before="120" w:after="120" w:line="276" w:lineRule="auto"/>
        <w:ind w:firstLine="567"/>
        <w:jc w:val="both"/>
        <w:rPr>
          <w:rFonts w:ascii="Courier New" w:hAnsi="Courier New" w:cs="Courier New"/>
          <w:sz w:val="22"/>
          <w:szCs w:val="22"/>
        </w:rPr>
      </w:pPr>
    </w:p>
    <w:p w:rsidR="00727F76" w:rsidP="00727F76" w14:paraId="5C21D129" w14:textId="349D6378">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 xml:space="preserve">EMENTA: AÇÃO DIRETA DE INCONSTITUCIONALIDADE - INICIATIVA LEGISLATIVA RESERVADA - EMENDA PARLAMENTAR - PERTINÊNCIA TEMÁTICA - AUMENTO DE DESPESA - VÍCIO FORMAL - INCONSTITUCIONALIDADE 1. O Supremo Tribunal Federal tem entendimento pacífico de que a previsão constitucional de iniciativa legislativa reservada não impede que o projeto de lei encaminhado ao Poder Legislativo seja objeto de emendas parlamentares. 2. Contudo, a possibilidade de emendas parlamentares aos projetos de lei de iniciativa reservada ao Chefe do Poder Executivo encontra duas limitações constitucionais, quais sejam: não acarretarem aumento de despesa e manterem pertinência temática com o objeto do projeto de lei. 3. Apesar de a pertinência temática ter sido preservada, a emenda parlamentar que incluiu o parágrafo único, do art. 2º, da Lei Municipal nº 1541, de 09 de março de 2021, revisando os vencimentos dos profissionais do magistério, acarretou aumento de despesa em matéria de inciativa privativa do Chefe do Poder Executivo, sendo formalmente </w:t>
      </w:r>
      <w:r w:rsidRPr="00727F76">
        <w:rPr>
          <w:rFonts w:ascii="Courier New" w:hAnsi="Courier New" w:cs="Courier New"/>
        </w:rPr>
        <w:t>inconstitucional.</w:t>
      </w:r>
      <w:r>
        <w:rPr>
          <w:rFonts w:ascii="Courier New" w:hAnsi="Courier New" w:cs="Courier New"/>
        </w:rPr>
        <w:t xml:space="preserve"> </w:t>
      </w:r>
      <w:r w:rsidRPr="00727F76">
        <w:rPr>
          <w:rFonts w:ascii="Courier New" w:hAnsi="Courier New" w:cs="Courier New"/>
        </w:rPr>
        <w:t xml:space="preserve">(TJ-MG - Ação Direta </w:t>
      </w:r>
      <w:r w:rsidRPr="00727F76">
        <w:rPr>
          <w:rFonts w:ascii="Courier New" w:hAnsi="Courier New" w:cs="Courier New"/>
        </w:rPr>
        <w:t>Inconst</w:t>
      </w:r>
      <w:r w:rsidRPr="00727F76">
        <w:rPr>
          <w:rFonts w:ascii="Courier New" w:hAnsi="Courier New" w:cs="Courier New"/>
        </w:rPr>
        <w:t>: 06736619120218130000, Relator: Des.(a) Carlos Roberto de Faria, Data de Julgamento: 15/02/2023, ÓRGÃO ESPECIAL, Data de Publicação: 27/02/2023)</w:t>
      </w:r>
    </w:p>
    <w:p w:rsidR="00727F76" w:rsidP="00D365E5" w14:paraId="67089A06" w14:textId="77777777">
      <w:pPr>
        <w:spacing w:before="120" w:after="120" w:line="276" w:lineRule="auto"/>
        <w:ind w:firstLine="567"/>
        <w:jc w:val="both"/>
        <w:rPr>
          <w:rFonts w:ascii="Courier New" w:hAnsi="Courier New" w:cs="Courier New"/>
          <w:sz w:val="22"/>
          <w:szCs w:val="22"/>
        </w:rPr>
      </w:pPr>
    </w:p>
    <w:p w:rsidR="00727F76" w:rsidP="00D365E5" w14:paraId="38194875" w14:textId="35AFFF50">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Inclusive, a</w:t>
      </w:r>
      <w:r w:rsidRPr="00727F76">
        <w:rPr>
          <w:rFonts w:ascii="Courier New" w:hAnsi="Courier New" w:cs="Courier New"/>
          <w:sz w:val="22"/>
          <w:szCs w:val="22"/>
        </w:rPr>
        <w:t>s obras abaixo sustentam que a instituição ou majoração de tributos exige lei em sentido formal, sendo vedado ao Executivo transbordar seu poder regulamentar</w:t>
      </w:r>
      <w:r>
        <w:rPr>
          <w:rFonts w:ascii="Courier New" w:hAnsi="Courier New" w:cs="Courier New"/>
          <w:sz w:val="22"/>
          <w:szCs w:val="22"/>
        </w:rPr>
        <w:t>:</w:t>
      </w:r>
    </w:p>
    <w:p w:rsidR="00727F76" w:rsidP="00D365E5" w14:paraId="79770F94" w14:textId="77777777">
      <w:pPr>
        <w:spacing w:before="120" w:after="120" w:line="276" w:lineRule="auto"/>
        <w:ind w:firstLine="567"/>
        <w:jc w:val="both"/>
        <w:rPr>
          <w:rFonts w:ascii="Courier New" w:hAnsi="Courier New" w:cs="Courier New"/>
          <w:sz w:val="22"/>
          <w:szCs w:val="22"/>
        </w:rPr>
      </w:pPr>
    </w:p>
    <w:p w:rsidR="00727F76" w:rsidRPr="00727F76" w:rsidP="00727F76" w14:paraId="5B35B1FF" w14:textId="5B61FD8C">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 xml:space="preserve">"A criação de nova maneira de recolhimento do tributo (...) deve ocorrer mediante lei no sentido formal e material, descabendo, para tal fim, a edição de decreto, a revelar o extravasamento do poder regulamentador do Executivo. (...) O regulamento, que venha dar concretude ao seu mandato, deve ater-se aos contornos que foram traçados pelo ato normativo superior." (MOURA, </w:t>
      </w:r>
      <w:r w:rsidRPr="00727F76">
        <w:rPr>
          <w:rFonts w:ascii="Courier New" w:hAnsi="Courier New" w:cs="Courier New"/>
        </w:rPr>
        <w:t>Jersilene</w:t>
      </w:r>
      <w:r w:rsidRPr="00727F76">
        <w:rPr>
          <w:rFonts w:ascii="Courier New" w:hAnsi="Courier New" w:cs="Courier New"/>
        </w:rPr>
        <w:t xml:space="preserve"> de Souza. Desafios Jurídicos de Ordem Principiológica na Aplicação do Princípio </w:t>
      </w:r>
      <w:r w:rsidRPr="00727F76">
        <w:rPr>
          <w:rFonts w:ascii="Courier New" w:hAnsi="Courier New" w:cs="Courier New"/>
        </w:rPr>
        <w:t>Arm’S</w:t>
      </w:r>
      <w:r w:rsidRPr="00727F76">
        <w:rPr>
          <w:rFonts w:ascii="Courier New" w:hAnsi="Courier New" w:cs="Courier New"/>
        </w:rPr>
        <w:t xml:space="preserve"> </w:t>
      </w:r>
      <w:r w:rsidRPr="00727F76">
        <w:rPr>
          <w:rFonts w:ascii="Courier New" w:hAnsi="Courier New" w:cs="Courier New"/>
        </w:rPr>
        <w:t>Length</w:t>
      </w:r>
      <w:r w:rsidRPr="00727F76">
        <w:rPr>
          <w:rFonts w:ascii="Courier New" w:hAnsi="Courier New" w:cs="Courier New"/>
        </w:rPr>
        <w:t xml:space="preserve">. Editora </w:t>
      </w:r>
      <w:r w:rsidRPr="00727F76">
        <w:rPr>
          <w:rFonts w:ascii="Courier New" w:hAnsi="Courier New" w:cs="Courier New"/>
        </w:rPr>
        <w:t>Lumen</w:t>
      </w:r>
      <w:r w:rsidRPr="00727F76">
        <w:rPr>
          <w:rFonts w:ascii="Courier New" w:hAnsi="Courier New" w:cs="Courier New"/>
        </w:rPr>
        <w:t xml:space="preserve"> Juris, 2025).</w:t>
      </w:r>
    </w:p>
    <w:p w:rsidR="00727F76" w:rsidP="00727F76" w14:paraId="03D7D9DC" w14:textId="77777777">
      <w:pPr>
        <w:spacing w:before="120" w:after="120" w:line="276" w:lineRule="auto"/>
        <w:ind w:firstLine="567"/>
        <w:jc w:val="both"/>
        <w:rPr>
          <w:rFonts w:ascii="Courier New" w:hAnsi="Courier New" w:cs="Courier New"/>
          <w:sz w:val="22"/>
          <w:szCs w:val="22"/>
        </w:rPr>
      </w:pPr>
    </w:p>
    <w:p w:rsidR="00727F76" w:rsidRPr="00727F76" w:rsidP="00727F76" w14:paraId="6228943F" w14:textId="5788435A">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 xml:space="preserve">"O Poder Executivo não está autorizado a apontar, ainda que por delegação, nenhum dos aspectos essenciais da norma jurídica tributária, sob pena de inconstitucionalidade. (...) A legalidade possui sentido normativo indireto porque estabelece um dever de buscar uma ideia de previsibilidade e de </w:t>
      </w:r>
      <w:r w:rsidRPr="00727F76">
        <w:rPr>
          <w:rFonts w:ascii="Courier New" w:hAnsi="Courier New" w:cs="Courier New"/>
        </w:rPr>
        <w:t>determinabilidade</w:t>
      </w:r>
      <w:r w:rsidRPr="00727F76">
        <w:rPr>
          <w:rFonts w:ascii="Courier New" w:hAnsi="Courier New" w:cs="Courier New"/>
        </w:rPr>
        <w:t xml:space="preserve"> para o exercício em relação ao poder de tributar." (SOUZA, Vanderson Silva de. </w:t>
      </w:r>
      <w:r w:rsidRPr="00727F76">
        <w:rPr>
          <w:rFonts w:ascii="Courier New" w:hAnsi="Courier New" w:cs="Courier New"/>
        </w:rPr>
        <w:t>Iptu</w:t>
      </w:r>
      <w:r w:rsidRPr="00727F76">
        <w:rPr>
          <w:rFonts w:ascii="Courier New" w:hAnsi="Courier New" w:cs="Courier New"/>
        </w:rPr>
        <w:t xml:space="preserve"> e Extrafiscalidade. Editora </w:t>
      </w:r>
      <w:r w:rsidRPr="00727F76">
        <w:rPr>
          <w:rFonts w:ascii="Courier New" w:hAnsi="Courier New" w:cs="Courier New"/>
        </w:rPr>
        <w:t>Lumen</w:t>
      </w:r>
      <w:r w:rsidRPr="00727F76">
        <w:rPr>
          <w:rFonts w:ascii="Courier New" w:hAnsi="Courier New" w:cs="Courier New"/>
        </w:rPr>
        <w:t xml:space="preserve"> Juris, 2022).</w:t>
      </w:r>
    </w:p>
    <w:p w:rsidR="00727F76" w:rsidP="00727F76" w14:paraId="07FC7432" w14:textId="77777777">
      <w:pPr>
        <w:spacing w:before="120" w:after="120" w:line="276" w:lineRule="auto"/>
        <w:ind w:firstLine="567"/>
        <w:jc w:val="both"/>
        <w:rPr>
          <w:rFonts w:ascii="Courier New" w:hAnsi="Courier New" w:cs="Courier New"/>
          <w:sz w:val="22"/>
          <w:szCs w:val="22"/>
        </w:rPr>
      </w:pPr>
    </w:p>
    <w:p w:rsidR="00727F76" w:rsidP="00727F76" w14:paraId="2F589F8E" w14:textId="38A21619">
      <w:pPr>
        <w:pBdr>
          <w:left w:val="single" w:sz="4" w:space="4" w:color="auto"/>
          <w:right w:val="single" w:sz="4" w:space="4" w:color="auto"/>
        </w:pBdr>
        <w:ind w:left="1701"/>
        <w:jc w:val="both"/>
        <w:rPr>
          <w:rFonts w:ascii="Courier New" w:hAnsi="Courier New" w:cs="Courier New"/>
        </w:rPr>
      </w:pPr>
      <w:r w:rsidRPr="00727F76">
        <w:rPr>
          <w:rFonts w:ascii="Courier New" w:hAnsi="Courier New" w:cs="Courier New"/>
        </w:rPr>
        <w:t xml:space="preserve">"No que diz respeito à criação de tributos e à sua majoração (...) a Constituição Brasileira (...) não se contentou com a mera exigência da habilitação legal para que a autoridade administrativa determine a obrigação a cargo do particular (legalidade em sentido amplo ou reserva de lei relativa) (...) Tal disciplina (...) é insuficiente para regular a obrigação tributária." (RIBEIRO, Ricardo Lodi. A Segurança Jurídica do Contribuinte. 2ª Ed. Editora </w:t>
      </w:r>
      <w:r w:rsidRPr="00727F76">
        <w:rPr>
          <w:rFonts w:ascii="Courier New" w:hAnsi="Courier New" w:cs="Courier New"/>
        </w:rPr>
        <w:t>Lumen</w:t>
      </w:r>
      <w:r w:rsidRPr="00727F76">
        <w:rPr>
          <w:rFonts w:ascii="Courier New" w:hAnsi="Courier New" w:cs="Courier New"/>
        </w:rPr>
        <w:t xml:space="preserve"> Juris, 2023).</w:t>
      </w:r>
    </w:p>
    <w:p w:rsidR="00727F76" w:rsidP="00D365E5" w14:paraId="2D6E0BE5" w14:textId="77777777">
      <w:pPr>
        <w:spacing w:before="120" w:after="120" w:line="276" w:lineRule="auto"/>
        <w:ind w:firstLine="567"/>
        <w:jc w:val="both"/>
        <w:rPr>
          <w:rFonts w:ascii="Courier New" w:hAnsi="Courier New" w:cs="Courier New"/>
          <w:sz w:val="22"/>
          <w:szCs w:val="22"/>
        </w:rPr>
      </w:pPr>
    </w:p>
    <w:p w:rsidR="00C44517" w:rsidP="00D365E5" w14:paraId="4473113D" w14:textId="77777777">
      <w:pPr>
        <w:spacing w:before="120" w:after="120" w:line="276" w:lineRule="auto"/>
        <w:ind w:firstLine="567"/>
        <w:jc w:val="both"/>
        <w:rPr>
          <w:rFonts w:ascii="Courier New" w:hAnsi="Courier New" w:cs="Courier New"/>
          <w:sz w:val="22"/>
          <w:szCs w:val="22"/>
        </w:rPr>
      </w:pPr>
      <w:r w:rsidRPr="00C44517">
        <w:rPr>
          <w:rFonts w:ascii="Courier New" w:hAnsi="Courier New" w:cs="Courier New"/>
          <w:sz w:val="22"/>
          <w:szCs w:val="22"/>
        </w:rPr>
        <w:t xml:space="preserve">Ao consignar que eventuais cobranças devem observar a legislação tributária municipal vigente, prestigia-se o </w:t>
      </w:r>
      <w:r w:rsidRPr="00C44517">
        <w:rPr>
          <w:rFonts w:ascii="Courier New" w:hAnsi="Courier New" w:cs="Courier New"/>
          <w:b/>
          <w:bCs/>
          <w:sz w:val="22"/>
          <w:szCs w:val="22"/>
        </w:rPr>
        <w:t>Princípio da Não-Surpresa</w:t>
      </w:r>
      <w:r w:rsidRPr="00C44517">
        <w:rPr>
          <w:rFonts w:ascii="Courier New" w:hAnsi="Courier New" w:cs="Courier New"/>
          <w:sz w:val="22"/>
          <w:szCs w:val="22"/>
        </w:rPr>
        <w:t xml:space="preserve"> e a proteção da confiança do contribuinte, evitando-se a invalidação judicial da norma por vício de ilegalidade ou inconstitucionalidade. </w:t>
      </w:r>
    </w:p>
    <w:p w:rsidR="002859C6" w:rsidP="00C44517" w14:paraId="01A24558" w14:textId="0D69254F">
      <w:pPr>
        <w:spacing w:before="120" w:after="120" w:line="276" w:lineRule="auto"/>
        <w:ind w:firstLine="567"/>
        <w:jc w:val="both"/>
        <w:rPr>
          <w:rFonts w:ascii="Courier New" w:hAnsi="Courier New" w:cs="Courier New"/>
          <w:sz w:val="22"/>
          <w:szCs w:val="22"/>
        </w:rPr>
      </w:pPr>
      <w:r w:rsidRPr="00C44517">
        <w:rPr>
          <w:rFonts w:ascii="Courier New" w:hAnsi="Courier New" w:cs="Courier New"/>
          <w:sz w:val="22"/>
          <w:szCs w:val="22"/>
        </w:rPr>
        <w:t>Trata-se, pois, de medida imperativa para garantir que a Administração Pública atue em consonância com o Princípio da Moralidade e da Legalidade Estrita, preservando a higidez do sistema tributário local e a integridade do processo legislativo.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5</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10A9"/>
    <w:rsid w:val="00165F25"/>
    <w:rsid w:val="00176E7E"/>
    <w:rsid w:val="00182771"/>
    <w:rsid w:val="00183AF0"/>
    <w:rsid w:val="001949B0"/>
    <w:rsid w:val="001959EF"/>
    <w:rsid w:val="001A39DE"/>
    <w:rsid w:val="001B42BA"/>
    <w:rsid w:val="001B4DF9"/>
    <w:rsid w:val="001C3AA6"/>
    <w:rsid w:val="001C5FCD"/>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D25FF"/>
    <w:rsid w:val="002D2C82"/>
    <w:rsid w:val="002D5CCE"/>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26E1A"/>
    <w:rsid w:val="00452524"/>
    <w:rsid w:val="004622A3"/>
    <w:rsid w:val="00465074"/>
    <w:rsid w:val="00466795"/>
    <w:rsid w:val="00481B75"/>
    <w:rsid w:val="004C4CD8"/>
    <w:rsid w:val="004C7ED8"/>
    <w:rsid w:val="004D0063"/>
    <w:rsid w:val="004D1A0E"/>
    <w:rsid w:val="004E4ADA"/>
    <w:rsid w:val="004E6D12"/>
    <w:rsid w:val="004F1BCE"/>
    <w:rsid w:val="004F7A40"/>
    <w:rsid w:val="00507EC7"/>
    <w:rsid w:val="00510DC1"/>
    <w:rsid w:val="00521BE4"/>
    <w:rsid w:val="00537FEA"/>
    <w:rsid w:val="00564B9E"/>
    <w:rsid w:val="0057381F"/>
    <w:rsid w:val="005831E1"/>
    <w:rsid w:val="00592748"/>
    <w:rsid w:val="0059377F"/>
    <w:rsid w:val="005C5121"/>
    <w:rsid w:val="005D014E"/>
    <w:rsid w:val="005D1A64"/>
    <w:rsid w:val="005E33D2"/>
    <w:rsid w:val="005F3390"/>
    <w:rsid w:val="005F4015"/>
    <w:rsid w:val="005F4D88"/>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27F76"/>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7229F"/>
    <w:rsid w:val="008844E4"/>
    <w:rsid w:val="008A0234"/>
    <w:rsid w:val="008A26DA"/>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B5BE4"/>
    <w:rsid w:val="009B7E1C"/>
    <w:rsid w:val="009F6628"/>
    <w:rsid w:val="00A164B8"/>
    <w:rsid w:val="00A23C0E"/>
    <w:rsid w:val="00A331D9"/>
    <w:rsid w:val="00A42886"/>
    <w:rsid w:val="00A442EC"/>
    <w:rsid w:val="00A47FF5"/>
    <w:rsid w:val="00A51AA5"/>
    <w:rsid w:val="00A56606"/>
    <w:rsid w:val="00A57636"/>
    <w:rsid w:val="00A60362"/>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D01D06"/>
    <w:rsid w:val="00D168E9"/>
    <w:rsid w:val="00D208C4"/>
    <w:rsid w:val="00D30EC1"/>
    <w:rsid w:val="00D33B3A"/>
    <w:rsid w:val="00D34085"/>
    <w:rsid w:val="00D365E5"/>
    <w:rsid w:val="00D464E5"/>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F76"/>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5</Pages>
  <Words>1840</Words>
  <Characters>9939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58</cp:revision>
  <cp:lastPrinted>2026-05-08T17:25:00Z</cp:lastPrinted>
  <dcterms:created xsi:type="dcterms:W3CDTF">2026-01-09T01:35:00Z</dcterms:created>
  <dcterms:modified xsi:type="dcterms:W3CDTF">2026-05-08T15:02:00Z</dcterms:modified>
</cp:coreProperties>
</file>