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6 ao Projeto de Lei Nº 191/2025</w:t>
      </w:r>
      <w:r w:rsidRPr="00465074">
        <w:rPr>
          <w:rFonts w:ascii="Courier New" w:hAnsi="Courier New" w:cs="Courier New"/>
          <w:b/>
          <w:bCs/>
          <w:kern w:val="3"/>
          <w:sz w:val="24"/>
          <w:szCs w:val="24"/>
        </w:rPr>
        <w:t>Emenda Nº 6 ao Projeto de Lei Nº 191/2025</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4A32AF0F">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88408C">
        <w:rPr>
          <w:rFonts w:ascii="Courier New" w:hAnsi="Courier New" w:cs="Courier New"/>
          <w:i/>
          <w:iCs/>
          <w:kern w:val="3"/>
          <w:sz w:val="22"/>
          <w:szCs w:val="22"/>
        </w:rPr>
        <w:t>ADITIVA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C44517">
        <w:rPr>
          <w:rFonts w:ascii="Courier New" w:hAnsi="Courier New" w:cs="Courier New"/>
          <w:i/>
          <w:iCs/>
          <w:kern w:val="3"/>
          <w:sz w:val="22"/>
          <w:szCs w:val="22"/>
        </w:rPr>
        <w:t>191/2025</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52590CD1">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Adiciona o </w:t>
      </w:r>
      <w:r w:rsidRPr="00E144CB" w:rsidR="00E144CB">
        <w:rPr>
          <w:rFonts w:ascii="Courier New" w:hAnsi="Courier New" w:cs="Courier New"/>
          <w:sz w:val="22"/>
          <w:szCs w:val="22"/>
        </w:rPr>
        <w:t xml:space="preserve">Art. </w:t>
      </w:r>
      <w:r w:rsidR="0051564A">
        <w:rPr>
          <w:rFonts w:ascii="Courier New" w:hAnsi="Courier New" w:cs="Courier New"/>
          <w:sz w:val="22"/>
          <w:szCs w:val="22"/>
        </w:rPr>
        <w:t>8</w:t>
      </w:r>
      <w:r w:rsidRPr="00E144CB" w:rsidR="00E144CB">
        <w:rPr>
          <w:rFonts w:ascii="Courier New" w:hAnsi="Courier New" w:cs="Courier New"/>
          <w:sz w:val="22"/>
          <w:szCs w:val="22"/>
        </w:rPr>
        <w:t xml:space="preserve">º </w:t>
      </w:r>
      <w:r w:rsidR="00CF7FCD">
        <w:rPr>
          <w:rFonts w:ascii="Courier New" w:hAnsi="Courier New" w:cs="Courier New"/>
          <w:sz w:val="22"/>
          <w:szCs w:val="22"/>
        </w:rPr>
        <w:t>a</w:t>
      </w:r>
      <w:r w:rsidRPr="00E144CB" w:rsidR="00E144CB">
        <w:rPr>
          <w:rFonts w:ascii="Courier New" w:hAnsi="Courier New" w:cs="Courier New"/>
          <w:sz w:val="22"/>
          <w:szCs w:val="22"/>
        </w:rPr>
        <w:t xml:space="preserve">o Projeto de Lei nº </w:t>
      </w:r>
      <w:r w:rsidR="00C44517">
        <w:rPr>
          <w:rFonts w:ascii="Courier New" w:hAnsi="Courier New" w:cs="Courier New"/>
          <w:sz w:val="22"/>
          <w:szCs w:val="22"/>
        </w:rPr>
        <w:t>191/2025</w:t>
      </w:r>
      <w:r w:rsidRPr="00E144CB" w:rsidR="00E144CB">
        <w:rPr>
          <w:rFonts w:ascii="Courier New" w:hAnsi="Courier New" w:cs="Courier New"/>
          <w:sz w:val="22"/>
          <w:szCs w:val="22"/>
        </w:rPr>
        <w:t xml:space="preserve">, </w:t>
      </w:r>
      <w:r w:rsidR="001604C3">
        <w:rPr>
          <w:rFonts w:ascii="Courier New" w:hAnsi="Courier New" w:cs="Courier New"/>
          <w:sz w:val="22"/>
          <w:szCs w:val="22"/>
        </w:rPr>
        <w:t xml:space="preserve">renumerando-se os demais,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E079A8" w:rsidP="00010A9F" w14:paraId="73D44D49" w14:textId="3AED014B">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1604C3" w:rsidR="001604C3">
        <w:rPr>
          <w:rFonts w:ascii="Courier New" w:hAnsi="Courier New" w:cs="Courier New"/>
          <w:b/>
          <w:bCs/>
          <w:sz w:val="22"/>
          <w:szCs w:val="22"/>
        </w:rPr>
        <w:t xml:space="preserve">Art. </w:t>
      </w:r>
      <w:r w:rsidR="0051564A">
        <w:rPr>
          <w:rFonts w:ascii="Courier New" w:hAnsi="Courier New" w:cs="Courier New"/>
          <w:b/>
          <w:bCs/>
          <w:sz w:val="22"/>
          <w:szCs w:val="22"/>
        </w:rPr>
        <w:t>8</w:t>
      </w:r>
      <w:r w:rsidRPr="001604C3" w:rsidR="001604C3">
        <w:rPr>
          <w:rFonts w:ascii="Courier New" w:hAnsi="Courier New" w:cs="Courier New"/>
          <w:b/>
          <w:bCs/>
          <w:sz w:val="22"/>
          <w:szCs w:val="22"/>
        </w:rPr>
        <w:t>º</w:t>
      </w:r>
      <w:r w:rsidR="001604C3">
        <w:rPr>
          <w:rFonts w:ascii="Courier New" w:hAnsi="Courier New" w:cs="Courier New"/>
          <w:b/>
          <w:bCs/>
          <w:sz w:val="22"/>
          <w:szCs w:val="22"/>
        </w:rPr>
        <w:t>.</w:t>
      </w:r>
      <w:r w:rsidRPr="001604C3" w:rsidR="001604C3">
        <w:rPr>
          <w:rFonts w:ascii="Courier New" w:hAnsi="Courier New" w:cs="Courier New"/>
          <w:sz w:val="22"/>
          <w:szCs w:val="22"/>
        </w:rPr>
        <w:t xml:space="preserve"> </w:t>
      </w:r>
      <w:r w:rsidRPr="0051564A" w:rsidR="0051564A">
        <w:rPr>
          <w:rFonts w:ascii="Courier New" w:hAnsi="Courier New" w:cs="Courier New"/>
          <w:sz w:val="22"/>
          <w:szCs w:val="22"/>
        </w:rPr>
        <w:t>O Poder Executivo promoverá a ampla divulgação do conteúdo desta Lei, visando dar ciência aos cidadãos sobre os procedimentos e prazos para a regularização da titularidade de jazigos no Cemitério Municipal.</w:t>
      </w:r>
      <w:r w:rsidR="0088408C">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1477DB71">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Róttoli”,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8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18604"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5112EB" w:rsidP="00D365E5" w14:paraId="0647D61A" w14:textId="77777777">
      <w:pPr>
        <w:spacing w:before="120" w:after="120" w:line="276" w:lineRule="auto"/>
        <w:ind w:firstLine="567"/>
        <w:jc w:val="both"/>
        <w:rPr>
          <w:rFonts w:ascii="Courier New" w:hAnsi="Courier New" w:cs="Courier New"/>
          <w:sz w:val="22"/>
          <w:szCs w:val="22"/>
        </w:rPr>
      </w:pPr>
      <w:r w:rsidRPr="005112EB">
        <w:rPr>
          <w:rFonts w:ascii="Courier New" w:hAnsi="Courier New" w:cs="Courier New"/>
          <w:sz w:val="22"/>
          <w:szCs w:val="22"/>
        </w:rPr>
        <w:t xml:space="preserve">A presente proposição legislativa colima conferir densidade normativa ao </w:t>
      </w:r>
      <w:r w:rsidRPr="005112EB">
        <w:rPr>
          <w:rFonts w:ascii="Courier New" w:hAnsi="Courier New" w:cs="Courier New"/>
          <w:b/>
          <w:bCs/>
          <w:sz w:val="22"/>
          <w:szCs w:val="22"/>
        </w:rPr>
        <w:t>Princípio da Publicidade</w:t>
      </w:r>
      <w:r w:rsidRPr="005112EB">
        <w:rPr>
          <w:rFonts w:ascii="Courier New" w:hAnsi="Courier New" w:cs="Courier New"/>
          <w:sz w:val="22"/>
          <w:szCs w:val="22"/>
        </w:rPr>
        <w:t xml:space="preserve">, vetor axiológico insculpido no art. 37, </w:t>
      </w:r>
      <w:r w:rsidRPr="005112EB">
        <w:rPr>
          <w:rFonts w:ascii="Courier New" w:hAnsi="Courier New" w:cs="Courier New"/>
          <w:i/>
          <w:iCs/>
          <w:sz w:val="22"/>
          <w:szCs w:val="22"/>
        </w:rPr>
        <w:t>caput</w:t>
      </w:r>
      <w:r w:rsidRPr="005112EB">
        <w:rPr>
          <w:rFonts w:ascii="Courier New" w:hAnsi="Courier New" w:cs="Courier New"/>
          <w:sz w:val="22"/>
          <w:szCs w:val="22"/>
        </w:rPr>
        <w:t xml:space="preserve">, da Constituição Federal, sob a premissa de que </w:t>
      </w:r>
      <w:r w:rsidRPr="005112EB">
        <w:rPr>
          <w:rFonts w:ascii="Courier New" w:hAnsi="Courier New" w:cs="Courier New"/>
          <w:i/>
          <w:iCs/>
          <w:sz w:val="22"/>
          <w:szCs w:val="22"/>
        </w:rPr>
        <w:t>publicitas est anima legis</w:t>
      </w:r>
      <w:r>
        <w:rPr>
          <w:rFonts w:ascii="Courier New" w:hAnsi="Courier New" w:cs="Courier New"/>
          <w:sz w:val="22"/>
          <w:szCs w:val="22"/>
        </w:rPr>
        <w:t>:</w:t>
      </w:r>
    </w:p>
    <w:p w:rsidR="005112EB" w:rsidP="00D365E5" w14:paraId="06971FA5" w14:textId="77777777">
      <w:pPr>
        <w:spacing w:before="120" w:after="120" w:line="276" w:lineRule="auto"/>
        <w:ind w:firstLine="567"/>
        <w:jc w:val="both"/>
        <w:rPr>
          <w:rFonts w:ascii="Courier New" w:hAnsi="Courier New" w:cs="Courier New"/>
          <w:sz w:val="22"/>
          <w:szCs w:val="22"/>
        </w:rPr>
      </w:pPr>
    </w:p>
    <w:p w:rsidR="005112EB" w:rsidP="005112EB" w14:paraId="6549BCA3" w14:textId="2F49C747">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b/>
          <w:bCs/>
        </w:rPr>
        <w:t>Art. 37.</w:t>
      </w:r>
      <w:r w:rsidRPr="005112EB">
        <w:rPr>
          <w:rFonts w:ascii="Courier New" w:hAnsi="Courier New" w:cs="Courier New"/>
        </w:rPr>
        <w:t xml:space="preserve"> A administração pública direta e indireta de qualquer dos Poderes da União, dos Estados, do Distrito Federal e dos Municípios obedecerá aos princípios de legalidade, impessoalidade, moralidade, publicidade e eficiência</w:t>
      </w:r>
      <w:r>
        <w:rPr>
          <w:rFonts w:ascii="Courier New" w:hAnsi="Courier New" w:cs="Courier New"/>
        </w:rPr>
        <w:t xml:space="preserve"> [...]</w:t>
      </w:r>
    </w:p>
    <w:p w:rsidR="005112EB" w:rsidP="00D365E5" w14:paraId="14EAF48E" w14:textId="77777777">
      <w:pPr>
        <w:spacing w:before="120" w:after="120" w:line="276" w:lineRule="auto"/>
        <w:ind w:firstLine="567"/>
        <w:jc w:val="both"/>
        <w:rPr>
          <w:rFonts w:ascii="Courier New" w:hAnsi="Courier New" w:cs="Courier New"/>
          <w:sz w:val="22"/>
          <w:szCs w:val="22"/>
        </w:rPr>
      </w:pPr>
    </w:p>
    <w:p w:rsidR="005112EB" w:rsidP="00D365E5" w14:paraId="102E17E3" w14:textId="6A45477E">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Então, a</w:t>
      </w:r>
      <w:r w:rsidRPr="005112EB">
        <w:rPr>
          <w:rFonts w:ascii="Courier New" w:hAnsi="Courier New" w:cs="Courier New"/>
          <w:sz w:val="22"/>
          <w:szCs w:val="22"/>
        </w:rPr>
        <w:t xml:space="preserve"> determinação para que o Poder Executivo promova a difusão ostensiva da norma de regularização de jazigos não constitui mera faculdade discricionária, mas dever indeclinável fundado no </w:t>
      </w:r>
      <w:r w:rsidRPr="005112EB">
        <w:rPr>
          <w:rFonts w:ascii="Courier New" w:hAnsi="Courier New" w:cs="Courier New"/>
          <w:b/>
          <w:bCs/>
          <w:sz w:val="22"/>
          <w:szCs w:val="22"/>
        </w:rPr>
        <w:t>Princípio da Transparência</w:t>
      </w:r>
      <w:r w:rsidRPr="005112EB">
        <w:rPr>
          <w:rFonts w:ascii="Courier New" w:hAnsi="Courier New" w:cs="Courier New"/>
          <w:sz w:val="22"/>
          <w:szCs w:val="22"/>
        </w:rPr>
        <w:t xml:space="preserve"> e na busca pela </w:t>
      </w:r>
      <w:r>
        <w:rPr>
          <w:rFonts w:ascii="Courier New" w:hAnsi="Courier New" w:cs="Courier New"/>
          <w:sz w:val="22"/>
          <w:szCs w:val="22"/>
        </w:rPr>
        <w:t>E</w:t>
      </w:r>
      <w:r w:rsidRPr="005112EB">
        <w:rPr>
          <w:rFonts w:ascii="Courier New" w:hAnsi="Courier New" w:cs="Courier New"/>
          <w:sz w:val="22"/>
          <w:szCs w:val="22"/>
        </w:rPr>
        <w:t>ficácia dos atos administrativos.</w:t>
      </w:r>
    </w:p>
    <w:p w:rsidR="005112EB" w:rsidP="00D365E5" w14:paraId="2DCA9599" w14:textId="77777777">
      <w:pPr>
        <w:spacing w:before="120" w:after="120" w:line="276" w:lineRule="auto"/>
        <w:ind w:firstLine="567"/>
        <w:jc w:val="both"/>
        <w:rPr>
          <w:rFonts w:ascii="Courier New" w:hAnsi="Courier New" w:cs="Courier New"/>
          <w:sz w:val="22"/>
          <w:szCs w:val="22"/>
        </w:rPr>
      </w:pPr>
      <w:r w:rsidRPr="005112EB">
        <w:rPr>
          <w:rFonts w:ascii="Courier New" w:hAnsi="Courier New" w:cs="Courier New"/>
          <w:sz w:val="22"/>
          <w:szCs w:val="22"/>
        </w:rPr>
        <w:t xml:space="preserve">Tal providência é imperativa para a salvaguarda da Segurança Jurídica, assegurando que o conteúdo normativo alcance a esfera de conhecimento dos administrados </w:t>
      </w:r>
      <w:r w:rsidRPr="005112EB">
        <w:rPr>
          <w:rFonts w:ascii="Courier New" w:hAnsi="Courier New" w:cs="Courier New"/>
          <w:i/>
          <w:iCs/>
          <w:sz w:val="22"/>
          <w:szCs w:val="22"/>
        </w:rPr>
        <w:t>erga omnes</w:t>
      </w:r>
      <w:r w:rsidRPr="005112EB">
        <w:rPr>
          <w:rFonts w:ascii="Courier New" w:hAnsi="Courier New" w:cs="Courier New"/>
          <w:sz w:val="22"/>
          <w:szCs w:val="22"/>
        </w:rPr>
        <w:t xml:space="preserve">, em especial daqueles em estado de vulnerabilidade, em estrita observância ao </w:t>
      </w:r>
      <w:r w:rsidRPr="005112EB">
        <w:rPr>
          <w:rFonts w:ascii="Courier New" w:hAnsi="Courier New" w:cs="Courier New"/>
          <w:b/>
          <w:bCs/>
          <w:sz w:val="22"/>
          <w:szCs w:val="22"/>
        </w:rPr>
        <w:t>Princípio da Dignidade da Pessoa Humana</w:t>
      </w:r>
      <w:r w:rsidRPr="005112EB">
        <w:rPr>
          <w:rFonts w:ascii="Courier New" w:hAnsi="Courier New" w:cs="Courier New"/>
          <w:sz w:val="22"/>
          <w:szCs w:val="22"/>
        </w:rPr>
        <w:t xml:space="preserve"> e ao </w:t>
      </w:r>
      <w:r w:rsidRPr="005112EB">
        <w:rPr>
          <w:rFonts w:ascii="Courier New" w:hAnsi="Courier New" w:cs="Courier New"/>
          <w:b/>
          <w:bCs/>
          <w:sz w:val="22"/>
          <w:szCs w:val="22"/>
        </w:rPr>
        <w:t>Princípio da Isonomia</w:t>
      </w:r>
      <w:r w:rsidRPr="005112EB">
        <w:rPr>
          <w:rFonts w:ascii="Courier New" w:hAnsi="Courier New" w:cs="Courier New"/>
          <w:sz w:val="22"/>
          <w:szCs w:val="22"/>
        </w:rPr>
        <w:t>.</w:t>
      </w:r>
    </w:p>
    <w:p w:rsidR="005112EB" w:rsidRPr="005112EB" w:rsidP="005112EB" w14:paraId="017060A5" w14:textId="328C93C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Fato é que</w:t>
      </w:r>
      <w:r w:rsidRPr="005112EB">
        <w:rPr>
          <w:rFonts w:ascii="Courier New" w:hAnsi="Courier New" w:cs="Courier New"/>
          <w:sz w:val="22"/>
          <w:szCs w:val="22"/>
        </w:rPr>
        <w:t xml:space="preserve"> jurisprudência dos Tribunais Superiores e Estaduais consolida o entendimento de que leis de iniciativa parlamentar que impõem deveres de transparência e publicidade ao Executivo são constitucionais, desde que não alterem a estrutura administrativa</w:t>
      </w:r>
      <w:r>
        <w:rPr>
          <w:rFonts w:ascii="Courier New" w:hAnsi="Courier New" w:cs="Courier New"/>
          <w:sz w:val="22"/>
          <w:szCs w:val="22"/>
        </w:rPr>
        <w:t>:</w:t>
      </w:r>
    </w:p>
    <w:p w:rsidR="005112EB" w:rsidP="00D365E5" w14:paraId="430EDBF9" w14:textId="77777777">
      <w:pPr>
        <w:spacing w:before="120" w:after="120" w:line="276" w:lineRule="auto"/>
        <w:ind w:firstLine="567"/>
        <w:jc w:val="both"/>
        <w:rPr>
          <w:rFonts w:ascii="Courier New" w:hAnsi="Courier New" w:cs="Courier New"/>
          <w:sz w:val="22"/>
          <w:szCs w:val="22"/>
        </w:rPr>
      </w:pPr>
    </w:p>
    <w:p w:rsidR="005112EB" w:rsidP="005112EB" w14:paraId="65B74045" w14:textId="714B00C8">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Não usurpa competência privativa do Chefe do Poder Executivo lei que, embora crie despesa para a Administração, não trata da sua estrutura ou da atribuição de seus órgãos nem do regime jurídico de servidores públicos</w:t>
      </w:r>
      <w:r>
        <w:rPr>
          <w:rFonts w:ascii="Courier New" w:hAnsi="Courier New" w:cs="Courier New"/>
        </w:rPr>
        <w:t xml:space="preserve">. </w:t>
      </w:r>
      <w:r w:rsidRPr="005112EB">
        <w:rPr>
          <w:rFonts w:ascii="Courier New" w:hAnsi="Courier New" w:cs="Courier New"/>
        </w:rPr>
        <w:t>(STF - RE: 1329296 RJ, Relator: ALEXANDRE DE MORAES, Data de Julgamento: 03/10/2022, Primeira Turma, Data de Publicação: PROCESSO ELETRÔNICO DJe-201 DIVULG 06-10-2022 PUBLIC 07-10-2022)</w:t>
      </w:r>
    </w:p>
    <w:p w:rsidR="005112EB" w:rsidP="00D365E5" w14:paraId="71CF6B50" w14:textId="77777777">
      <w:pPr>
        <w:spacing w:before="120" w:after="120" w:line="276" w:lineRule="auto"/>
        <w:ind w:firstLine="567"/>
        <w:jc w:val="both"/>
        <w:rPr>
          <w:rFonts w:ascii="Courier New" w:hAnsi="Courier New" w:cs="Courier New"/>
          <w:sz w:val="22"/>
          <w:szCs w:val="22"/>
        </w:rPr>
      </w:pPr>
    </w:p>
    <w:p w:rsidR="005112EB" w:rsidP="005112EB" w14:paraId="1ECDB7BA" w14:textId="56721C9D">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Determinação no sentido de divulgar referida listagem (...) que não configura hipótese de usurpação de competência privativa do chefe do Poder Executivo. Dispositivo legal que está em consonância com os princípios da publicidade e do interesse público</w:t>
      </w:r>
      <w:r>
        <w:rPr>
          <w:rFonts w:ascii="Courier New" w:hAnsi="Courier New" w:cs="Courier New"/>
        </w:rPr>
        <w:t xml:space="preserve">. </w:t>
      </w:r>
      <w:r w:rsidRPr="005112EB">
        <w:rPr>
          <w:rFonts w:ascii="Courier New" w:hAnsi="Courier New" w:cs="Courier New"/>
        </w:rPr>
        <w:t>(TJ-SP - Direta de Inconstitucionalidade: 20394463920248260000 São Paulo, Relator: Campos Mello, Data de Julgamento: 21/08/2024, Órgão Especial, Data de Publicação: 28/08/2024)</w:t>
      </w:r>
    </w:p>
    <w:p w:rsidR="005112EB" w:rsidP="00D365E5" w14:paraId="45CF98BF" w14:textId="77777777">
      <w:pPr>
        <w:spacing w:before="120" w:after="120" w:line="276" w:lineRule="auto"/>
        <w:ind w:firstLine="567"/>
        <w:jc w:val="both"/>
        <w:rPr>
          <w:rFonts w:ascii="Courier New" w:hAnsi="Courier New" w:cs="Courier New"/>
          <w:sz w:val="22"/>
          <w:szCs w:val="22"/>
        </w:rPr>
      </w:pPr>
    </w:p>
    <w:p w:rsidR="005112EB" w:rsidP="005112EB" w14:paraId="4D4C3150" w14:textId="40502562">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Norma que trata de informar aos munícipes as obras inacabadas do Município (...), conforme os princípios da publicidade e transparência. Matéria que não está elencada no rol daquelas de iniciativa reservada do Poder Executivo</w:t>
      </w:r>
      <w:r>
        <w:rPr>
          <w:rFonts w:ascii="Courier New" w:hAnsi="Courier New" w:cs="Courier New"/>
        </w:rPr>
        <w:t xml:space="preserve">. </w:t>
      </w:r>
      <w:r w:rsidRPr="005112EB">
        <w:rPr>
          <w:rFonts w:ascii="Courier New" w:hAnsi="Courier New" w:cs="Courier New"/>
        </w:rPr>
        <w:t xml:space="preserve">(TJ-SP - ADI: </w:t>
      </w:r>
      <w:r w:rsidRPr="005112EB">
        <w:rPr>
          <w:rFonts w:ascii="Courier New" w:hAnsi="Courier New" w:cs="Courier New"/>
        </w:rPr>
        <w:t>20049253920228260000 SP 2004925-39.2022.8.26.0000, Relator: Aroldo Viotti, Data de Julgamento: 10/08/2022, Órgão Especial, Data de Publicação: 16/08/2022)</w:t>
      </w:r>
    </w:p>
    <w:p w:rsidR="005112EB" w:rsidRPr="005112EB" w:rsidP="005112EB" w14:paraId="02A54E0D" w14:textId="77777777">
      <w:pPr>
        <w:spacing w:before="120" w:after="120" w:line="276" w:lineRule="auto"/>
        <w:ind w:firstLine="567"/>
        <w:jc w:val="both"/>
        <w:rPr>
          <w:rFonts w:ascii="Courier New" w:hAnsi="Courier New" w:cs="Courier New"/>
          <w:sz w:val="22"/>
          <w:szCs w:val="22"/>
        </w:rPr>
      </w:pPr>
    </w:p>
    <w:p w:rsidR="005112EB" w:rsidP="00D365E5" w14:paraId="1477D721" w14:textId="77777777">
      <w:pPr>
        <w:spacing w:before="120" w:after="120" w:line="276" w:lineRule="auto"/>
        <w:ind w:firstLine="567"/>
        <w:jc w:val="both"/>
        <w:rPr>
          <w:rFonts w:ascii="Courier New" w:hAnsi="Courier New" w:cs="Courier New"/>
          <w:sz w:val="22"/>
          <w:szCs w:val="22"/>
        </w:rPr>
      </w:pPr>
      <w:r w:rsidRPr="005112EB">
        <w:rPr>
          <w:rFonts w:ascii="Courier New" w:hAnsi="Courier New" w:cs="Courier New"/>
          <w:sz w:val="22"/>
          <w:szCs w:val="22"/>
        </w:rPr>
        <w:t>Ao viabilizar o acesso efetivo à informação, o ente público atende ao Princípio da Boa-fé Objetiva e à Função Social da Cidade, prevenindo o surgimento de lides desnecessárias e garantindo que o equipamento urbano cumpra sua destinação coletiva.</w:t>
      </w:r>
    </w:p>
    <w:p w:rsidR="005112EB" w:rsidP="00D365E5" w14:paraId="70CFFE4A" w14:textId="3F5935BB">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que a</w:t>
      </w:r>
      <w:r w:rsidRPr="005112EB">
        <w:rPr>
          <w:rFonts w:ascii="Courier New" w:hAnsi="Courier New" w:cs="Courier New"/>
          <w:sz w:val="22"/>
          <w:szCs w:val="22"/>
        </w:rPr>
        <w:t xml:space="preserve"> doutrina clássica e contemporânea reforça que a publicidade é o alicerce do controle social e da moralidade administrativa</w:t>
      </w:r>
      <w:r>
        <w:rPr>
          <w:rFonts w:ascii="Courier New" w:hAnsi="Courier New" w:cs="Courier New"/>
          <w:sz w:val="22"/>
          <w:szCs w:val="22"/>
        </w:rPr>
        <w:t>:</w:t>
      </w:r>
    </w:p>
    <w:p w:rsidR="005112EB" w:rsidP="00D365E5" w14:paraId="2D74672C" w14:textId="77777777">
      <w:pPr>
        <w:spacing w:before="120" w:after="120" w:line="276" w:lineRule="auto"/>
        <w:ind w:firstLine="567"/>
        <w:jc w:val="both"/>
        <w:rPr>
          <w:rFonts w:ascii="Courier New" w:hAnsi="Courier New" w:cs="Courier New"/>
          <w:sz w:val="22"/>
          <w:szCs w:val="22"/>
        </w:rPr>
      </w:pPr>
    </w:p>
    <w:p w:rsidR="005112EB" w:rsidP="005112EB" w14:paraId="0987F609" w14:textId="48B1AFA2">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 xml:space="preserve">"Rememorando as sábias palavras de Hely Lopes Meirelles, se a Administração é pública, públicos deverão ser seus atos... O princípio da publicidade... determina que a conduta da Administração deve ser a mais transparente possível." </w:t>
      </w:r>
      <w:r>
        <w:rPr>
          <w:rFonts w:ascii="Courier New" w:hAnsi="Courier New" w:cs="Courier New"/>
        </w:rPr>
        <w:t>(</w:t>
      </w:r>
      <w:r w:rsidRPr="005112EB">
        <w:rPr>
          <w:rFonts w:ascii="Courier New" w:hAnsi="Courier New" w:cs="Courier New"/>
        </w:rPr>
        <w:t>MEIRELLES, Hely Lopes. Direito Administrativo Brasileiro. São Paulo: Malheiros).</w:t>
      </w:r>
    </w:p>
    <w:p w:rsidR="005112EB" w:rsidP="00D365E5" w14:paraId="4D166076" w14:textId="77777777">
      <w:pPr>
        <w:spacing w:before="120" w:after="120" w:line="276" w:lineRule="auto"/>
        <w:ind w:firstLine="567"/>
        <w:jc w:val="both"/>
        <w:rPr>
          <w:rFonts w:ascii="Courier New" w:hAnsi="Courier New" w:cs="Courier New"/>
          <w:sz w:val="22"/>
          <w:szCs w:val="22"/>
        </w:rPr>
      </w:pPr>
    </w:p>
    <w:p w:rsidR="005112EB" w:rsidP="005112EB" w14:paraId="3CBC42A4" w14:textId="1CE02415">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 xml:space="preserve">"As sujeições visam à proteção dos direitos individuais em face do Estado; é por isso que a Administração Pública está sujeita ao princípio da legalidade, finalidade pública, moralidade, publicidade..." </w:t>
      </w:r>
      <w:r>
        <w:rPr>
          <w:rFonts w:ascii="Courier New" w:hAnsi="Courier New" w:cs="Courier New"/>
        </w:rPr>
        <w:t>(</w:t>
      </w:r>
      <w:r w:rsidRPr="005112EB">
        <w:rPr>
          <w:rFonts w:ascii="Courier New" w:hAnsi="Courier New" w:cs="Courier New"/>
        </w:rPr>
        <w:t>DI PIETRO, Maria Sylvia Zanella. Direito Administrativo. Rio de Janeiro: Forense).</w:t>
      </w:r>
    </w:p>
    <w:p w:rsidR="005112EB" w:rsidP="00D365E5" w14:paraId="64C034F3" w14:textId="77777777">
      <w:pPr>
        <w:spacing w:before="120" w:after="120" w:line="276" w:lineRule="auto"/>
        <w:ind w:firstLine="567"/>
        <w:jc w:val="both"/>
        <w:rPr>
          <w:rFonts w:ascii="Courier New" w:hAnsi="Courier New" w:cs="Courier New"/>
          <w:sz w:val="22"/>
          <w:szCs w:val="22"/>
        </w:rPr>
      </w:pPr>
    </w:p>
    <w:p w:rsidR="005112EB" w:rsidP="005112EB" w14:paraId="3598DA7C" w14:textId="4BE627CA">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 xml:space="preserve">"O Direito Administrativo é um conjunto de normas e princípios que, visando sempre ao interesse público, regem as relações jurídicas da Administração Pública." </w:t>
      </w:r>
      <w:r>
        <w:rPr>
          <w:rFonts w:ascii="Courier New" w:hAnsi="Courier New" w:cs="Courier New"/>
        </w:rPr>
        <w:t>(</w:t>
      </w:r>
      <w:r w:rsidRPr="005112EB">
        <w:rPr>
          <w:rFonts w:ascii="Courier New" w:hAnsi="Courier New" w:cs="Courier New"/>
        </w:rPr>
        <w:t>CARVALHO FILHO, José dos Santos. Manual de Direito Administrativo. São Paulo: Atlas).</w:t>
      </w:r>
    </w:p>
    <w:p w:rsidR="005112EB" w:rsidP="00D365E5" w14:paraId="358E77DB" w14:textId="77777777">
      <w:pPr>
        <w:spacing w:before="120" w:after="120" w:line="276" w:lineRule="auto"/>
        <w:ind w:firstLine="567"/>
        <w:jc w:val="both"/>
        <w:rPr>
          <w:rFonts w:ascii="Courier New" w:hAnsi="Courier New" w:cs="Courier New"/>
          <w:sz w:val="22"/>
          <w:szCs w:val="22"/>
        </w:rPr>
      </w:pPr>
    </w:p>
    <w:p w:rsidR="005112EB" w:rsidRPr="005112EB" w:rsidP="005112EB" w14:paraId="79CA5FC0" w14:textId="15FCF2D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Agora, p</w:t>
      </w:r>
      <w:r w:rsidRPr="005112EB">
        <w:rPr>
          <w:rFonts w:ascii="Courier New" w:hAnsi="Courier New" w:cs="Courier New"/>
          <w:sz w:val="22"/>
          <w:szCs w:val="22"/>
        </w:rPr>
        <w:t xml:space="preserve">ara atestar a plena legalidade da iniciativa parlamentar em matéria de publicidade educativa e informativa, </w:t>
      </w:r>
      <w:r>
        <w:rPr>
          <w:rFonts w:ascii="Courier New" w:hAnsi="Courier New" w:cs="Courier New"/>
          <w:sz w:val="22"/>
          <w:szCs w:val="22"/>
        </w:rPr>
        <w:t xml:space="preserve">tem-se o julgamento do </w:t>
      </w:r>
      <w:r w:rsidRPr="005112EB">
        <w:rPr>
          <w:rFonts w:ascii="Courier New" w:hAnsi="Courier New" w:cs="Courier New"/>
          <w:sz w:val="22"/>
          <w:szCs w:val="22"/>
        </w:rPr>
        <w:t>RE: 1315870 SP</w:t>
      </w:r>
      <w:r>
        <w:rPr>
          <w:rFonts w:ascii="Courier New" w:hAnsi="Courier New" w:cs="Courier New"/>
          <w:sz w:val="22"/>
          <w:szCs w:val="22"/>
        </w:rPr>
        <w:t xml:space="preserve"> pelo STF, atestando que aquela</w:t>
      </w:r>
      <w:r w:rsidRPr="005112EB">
        <w:rPr>
          <w:rFonts w:ascii="Courier New" w:hAnsi="Courier New" w:cs="Courier New"/>
          <w:sz w:val="22"/>
          <w:szCs w:val="22"/>
        </w:rPr>
        <w:t xml:space="preserve"> norma</w:t>
      </w:r>
      <w:r>
        <w:rPr>
          <w:rFonts w:ascii="Courier New" w:hAnsi="Courier New" w:cs="Courier New"/>
          <w:sz w:val="22"/>
          <w:szCs w:val="22"/>
        </w:rPr>
        <w:t xml:space="preserve">, aqui em analogia, </w:t>
      </w:r>
      <w:r w:rsidRPr="005112EB">
        <w:rPr>
          <w:rFonts w:ascii="Courier New" w:hAnsi="Courier New" w:cs="Courier New"/>
          <w:sz w:val="22"/>
          <w:szCs w:val="22"/>
        </w:rPr>
        <w:t>presta-se para dar concretude ao princípio da publicidade, insculpido no art. 37, caput, da Constituição Federal de 1988, o qual exige que seja dada transparência aos atos administrativos.</w:t>
      </w:r>
      <w:r>
        <w:rPr>
          <w:rFonts w:ascii="Courier New" w:hAnsi="Courier New" w:cs="Courier New"/>
          <w:sz w:val="22"/>
          <w:szCs w:val="22"/>
        </w:rPr>
        <w:t xml:space="preserve"> Também, </w:t>
      </w:r>
      <w:r w:rsidRPr="005112EB">
        <w:rPr>
          <w:rFonts w:ascii="Courier New" w:hAnsi="Courier New" w:cs="Courier New"/>
          <w:b/>
          <w:bCs/>
          <w:i/>
          <w:iCs/>
          <w:sz w:val="22"/>
          <w:szCs w:val="22"/>
        </w:rPr>
        <w:t>Thiago Marrara</w:t>
      </w:r>
      <w:r>
        <w:rPr>
          <w:rFonts w:ascii="Courier New" w:hAnsi="Courier New" w:cs="Courier New"/>
          <w:sz w:val="22"/>
          <w:szCs w:val="22"/>
        </w:rPr>
        <w:t xml:space="preserve"> ensina:</w:t>
      </w:r>
    </w:p>
    <w:p w:rsidR="005112EB" w:rsidP="00D365E5" w14:paraId="6085A4E9" w14:textId="77777777">
      <w:pPr>
        <w:spacing w:before="120" w:after="120" w:line="276" w:lineRule="auto"/>
        <w:ind w:firstLine="567"/>
        <w:jc w:val="both"/>
        <w:rPr>
          <w:rFonts w:ascii="Courier New" w:hAnsi="Courier New" w:cs="Courier New"/>
          <w:sz w:val="22"/>
          <w:szCs w:val="22"/>
        </w:rPr>
      </w:pPr>
    </w:p>
    <w:p w:rsidR="005112EB" w:rsidP="005112EB" w14:paraId="4574B5B9" w14:textId="2178DEE3">
      <w:pPr>
        <w:pBdr>
          <w:left w:val="single" w:sz="4" w:space="4" w:color="auto"/>
          <w:right w:val="single" w:sz="4" w:space="4" w:color="auto"/>
        </w:pBdr>
        <w:ind w:left="1701"/>
        <w:jc w:val="both"/>
        <w:rPr>
          <w:rFonts w:ascii="Courier New" w:hAnsi="Courier New" w:cs="Courier New"/>
        </w:rPr>
      </w:pPr>
      <w:r w:rsidRPr="005112EB">
        <w:rPr>
          <w:rFonts w:ascii="Courier New" w:hAnsi="Courier New" w:cs="Courier New"/>
        </w:rPr>
        <w:t xml:space="preserve">"A publicidade educativa representa a difusão de valores públicos como estímulo à geração de 'conscientização social' ou para fins de divulgação de políticas públicas em favor de sua execução bem-sucedida. Para tanto, a Administração se vale de mensagens educativas na mídia de grande circulação, da confecção e distribuição de cartilhas e cartazes..." </w:t>
      </w:r>
      <w:r>
        <w:rPr>
          <w:rFonts w:ascii="Courier New" w:hAnsi="Courier New" w:cs="Courier New"/>
        </w:rPr>
        <w:t>(</w:t>
      </w:r>
      <w:r w:rsidRPr="005112EB">
        <w:rPr>
          <w:rFonts w:ascii="Courier New" w:hAnsi="Courier New" w:cs="Courier New"/>
        </w:rPr>
        <w:t>MARRARA, Thiago. Manual de Direito Administrativo. São Paulo: Editora Foco).</w:t>
      </w:r>
    </w:p>
    <w:p w:rsidR="005112EB" w:rsidP="00D365E5" w14:paraId="757FDD22" w14:textId="77777777">
      <w:pPr>
        <w:spacing w:before="120" w:after="120" w:line="276" w:lineRule="auto"/>
        <w:ind w:firstLine="567"/>
        <w:jc w:val="both"/>
        <w:rPr>
          <w:rFonts w:ascii="Courier New" w:hAnsi="Courier New" w:cs="Courier New"/>
          <w:sz w:val="22"/>
          <w:szCs w:val="22"/>
        </w:rPr>
      </w:pPr>
    </w:p>
    <w:p w:rsidR="00744E1D" w:rsidP="00D365E5" w14:paraId="07BC95AD" w14:textId="2B1289D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Logo, a</w:t>
      </w:r>
      <w:r w:rsidRPr="005112EB">
        <w:rPr>
          <w:rFonts w:ascii="Courier New" w:hAnsi="Courier New" w:cs="Courier New"/>
          <w:sz w:val="22"/>
          <w:szCs w:val="22"/>
        </w:rPr>
        <w:t xml:space="preserve"> opacidade administrativa, ao revés, afronta o </w:t>
      </w:r>
      <w:r w:rsidRPr="005112EB">
        <w:rPr>
          <w:rFonts w:ascii="Courier New" w:hAnsi="Courier New" w:cs="Courier New"/>
          <w:b/>
          <w:bCs/>
          <w:sz w:val="22"/>
          <w:szCs w:val="22"/>
        </w:rPr>
        <w:t>Princípio da Moralidade</w:t>
      </w:r>
      <w:r w:rsidRPr="005112EB">
        <w:rPr>
          <w:rFonts w:ascii="Courier New" w:hAnsi="Courier New" w:cs="Courier New"/>
          <w:sz w:val="22"/>
          <w:szCs w:val="22"/>
        </w:rPr>
        <w:t xml:space="preserve"> e o </w:t>
      </w:r>
      <w:r w:rsidRPr="005112EB">
        <w:rPr>
          <w:rFonts w:ascii="Courier New" w:hAnsi="Courier New" w:cs="Courier New"/>
          <w:b/>
          <w:bCs/>
          <w:sz w:val="22"/>
          <w:szCs w:val="22"/>
        </w:rPr>
        <w:t>Princípio da Vedação ao Retrocesso Social</w:t>
      </w:r>
      <w:r w:rsidRPr="005112EB">
        <w:rPr>
          <w:rFonts w:ascii="Courier New" w:hAnsi="Courier New" w:cs="Courier New"/>
          <w:sz w:val="22"/>
          <w:szCs w:val="22"/>
        </w:rPr>
        <w:t xml:space="preserve">, sendo a publicidade material o instrumento idôneo para legitimar a atuação estatal e garantir o exercício pleno da cidadania, em atenção ao postulado </w:t>
      </w:r>
      <w:r w:rsidRPr="005112EB">
        <w:rPr>
          <w:rFonts w:ascii="Courier New" w:hAnsi="Courier New" w:cs="Courier New"/>
          <w:i/>
          <w:iCs/>
          <w:sz w:val="22"/>
          <w:szCs w:val="22"/>
        </w:rPr>
        <w:t>nemo ad vana tenetur</w:t>
      </w:r>
      <w:r w:rsidRPr="005112EB">
        <w:rPr>
          <w:rFonts w:ascii="Courier New" w:hAnsi="Courier New" w:cs="Courier New"/>
          <w:sz w:val="22"/>
          <w:szCs w:val="22"/>
        </w:rPr>
        <w:t>, exigindo-se do Estado a clareza necessária para que o jurisdicionado possa exercer seus direitos sobre o patrimônio familiar.</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26E1A"/>
    <w:rsid w:val="00452524"/>
    <w:rsid w:val="004622A3"/>
    <w:rsid w:val="00465074"/>
    <w:rsid w:val="00465614"/>
    <w:rsid w:val="00466795"/>
    <w:rsid w:val="00481B75"/>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5897"/>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E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4</Pages>
  <Words>885</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64</cp:revision>
  <cp:lastPrinted>2026-05-08T17:35:40Z</cp:lastPrinted>
  <dcterms:created xsi:type="dcterms:W3CDTF">2026-01-09T01:35:00Z</dcterms:created>
  <dcterms:modified xsi:type="dcterms:W3CDTF">2026-05-08T17:35:00Z</dcterms:modified>
</cp:coreProperties>
</file>