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E27D0C"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3D6D21" w:rsidP="003D6D21" w14:paraId="0380B7DA" w14:textId="361CA97F">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E27D0C" w:rsidRPr="002A0A87" w:rsidP="00E27D0C" w14:paraId="294093BC" w14:textId="28061E41">
      <w:pPr>
        <w:pStyle w:val="NormalWeb"/>
        <w:spacing w:line="360" w:lineRule="auto"/>
      </w:pPr>
      <w:r w:rsidRPr="002A0A87">
        <w:rPr>
          <w:rStyle w:val="Strong"/>
        </w:rPr>
        <w:t xml:space="preserve">PROJETO DE </w:t>
      </w:r>
      <w:r w:rsidRPr="002A0A87" w:rsidR="00AA3B6E">
        <w:rPr>
          <w:rStyle w:val="Strong"/>
        </w:rPr>
        <w:t xml:space="preserve">LEI </w:t>
      </w:r>
      <w:r w:rsidR="00F2595D">
        <w:rPr>
          <w:rStyle w:val="Strong"/>
        </w:rPr>
        <w:t xml:space="preserve">Nº </w:t>
      </w:r>
      <w:r w:rsidR="009A5E92">
        <w:rPr>
          <w:rStyle w:val="Strong"/>
        </w:rPr>
        <w:t>4</w:t>
      </w:r>
      <w:r w:rsidR="001E17D3">
        <w:rPr>
          <w:rStyle w:val="Strong"/>
        </w:rPr>
        <w:t xml:space="preserve">7 </w:t>
      </w:r>
      <w:r w:rsidR="00F2595D">
        <w:rPr>
          <w:rStyle w:val="Strong"/>
        </w:rPr>
        <w:t>DE 2026</w:t>
      </w:r>
      <w:r w:rsidR="00595E79">
        <w:rPr>
          <w:rStyle w:val="Strong"/>
        </w:rPr>
        <w:t xml:space="preserve"> – Mesa Diretora da Câmara Municipal.</w:t>
      </w:r>
    </w:p>
    <w:p w:rsidR="001E17D3" w:rsidP="001E17D3" w14:paraId="2A94D0F0" w14:textId="0D8860FB">
      <w:pPr>
        <w:pStyle w:val="NormalWeb"/>
        <w:spacing w:line="360" w:lineRule="auto"/>
        <w:jc w:val="both"/>
        <w:rPr>
          <w:rStyle w:val="Emphasis"/>
        </w:rPr>
      </w:pPr>
      <w:r>
        <w:rPr>
          <w:rStyle w:val="Emphasis"/>
        </w:rPr>
        <w:t xml:space="preserve">Dispõe sobre o reajuste do valor do vale-alimentação e do vale-refeição dos servidores ativos da Câmara Municipal de Mogi Mirim, e dá outras providências. </w:t>
      </w:r>
    </w:p>
    <w:p w:rsidR="00F74441" w:rsidRPr="002A0A87" w:rsidP="003D6D21" w14:paraId="1D42C3C2" w14:textId="47ABF2F7">
      <w:pPr>
        <w:pStyle w:val="NormalWeb"/>
        <w:spacing w:line="360" w:lineRule="auto"/>
      </w:pPr>
      <w:r w:rsidRPr="002A0A87">
        <w:rPr>
          <w:rStyle w:val="Strong"/>
        </w:rPr>
        <w:t>RELATOR: VEREADOR WAGNER RICARDO PEREIRA</w:t>
      </w:r>
    </w:p>
    <w:p w:rsidR="00F74441" w:rsidRPr="002A0A87" w:rsidP="003D6D21" w14:paraId="255CBB13" w14:textId="77777777">
      <w:pPr>
        <w:spacing w:line="360" w:lineRule="auto"/>
        <w:rPr>
          <w:sz w:val="24"/>
          <w:szCs w:val="24"/>
        </w:rPr>
      </w:pPr>
      <w:r>
        <w:rPr>
          <w:sz w:val="24"/>
          <w:szCs w:val="24"/>
        </w:rPr>
        <w:pict>
          <v:rect id="_x0000_i1026" style="width:0;height:0.75pt" o:hralign="center" o:hrstd="t" o:hrnoshade="t" o:hr="t" fillcolor="#404040" stroked="f"/>
        </w:pict>
      </w:r>
    </w:p>
    <w:p w:rsidR="00F74441" w:rsidRPr="002A0A87" w:rsidP="003D6D21" w14:paraId="71819A52" w14:textId="77777777">
      <w:pPr>
        <w:pStyle w:val="Heading3"/>
        <w:spacing w:line="360" w:lineRule="auto"/>
        <w:jc w:val="both"/>
        <w:rPr>
          <w:color w:val="auto"/>
          <w:sz w:val="24"/>
          <w:szCs w:val="24"/>
        </w:rPr>
      </w:pPr>
      <w:r w:rsidRPr="002A0A87">
        <w:rPr>
          <w:rStyle w:val="Strong"/>
          <w:b/>
          <w:bCs w:val="0"/>
          <w:color w:val="auto"/>
          <w:sz w:val="24"/>
          <w:szCs w:val="24"/>
        </w:rPr>
        <w:t>I - EXPOSIÇÃO DA MATÉRIA EM EXAME</w:t>
      </w:r>
    </w:p>
    <w:p w:rsidR="00F52B2B" w:rsidRPr="002A0A87" w:rsidP="003D6D21" w14:paraId="3FFB2217" w14:textId="08608CD7">
      <w:pPr>
        <w:pStyle w:val="NormalWeb"/>
        <w:spacing w:line="360" w:lineRule="auto"/>
        <w:jc w:val="both"/>
        <w:rPr>
          <w:b/>
          <w:i/>
          <w:iCs/>
        </w:rPr>
      </w:pPr>
      <w:r w:rsidRPr="002A0A87">
        <w:tab/>
      </w:r>
      <w:r w:rsidRPr="002A0A87">
        <w:t>O Projeto de Lei</w:t>
      </w:r>
      <w:r w:rsidR="009A5E92">
        <w:t xml:space="preserve"> nº 4</w:t>
      </w:r>
      <w:r w:rsidR="001E17D3">
        <w:t>7</w:t>
      </w:r>
      <w:r w:rsidR="00914BD6">
        <w:t xml:space="preserve"> de 2026</w:t>
      </w:r>
      <w:r w:rsidR="00595E79">
        <w:t>, de autoria da Mesa Diretora da Câmara</w:t>
      </w:r>
      <w:r w:rsidR="001C2A28">
        <w:t xml:space="preserve"> Municipal de Mogi Mirim</w:t>
      </w:r>
      <w:r w:rsidR="009A5E92">
        <w:t xml:space="preserve">, tem por objetivo </w:t>
      </w:r>
      <w:r w:rsidR="009A5E92">
        <w:rPr>
          <w:rStyle w:val="Strong"/>
          <w:i/>
        </w:rPr>
        <w:t xml:space="preserve">reajustar em 10% o valor do vale-alimentação e do vale-refeição concedidos aos servidores ativos do Poder Legislativo Municipal. </w:t>
      </w:r>
    </w:p>
    <w:p w:rsidR="00AD416D" w:rsidP="005B27A9" w14:paraId="0863A95E" w14:textId="1C07A170">
      <w:pPr>
        <w:pStyle w:val="NormalWeb"/>
        <w:spacing w:line="360" w:lineRule="auto"/>
        <w:ind w:firstLine="720"/>
        <w:jc w:val="both"/>
      </w:pPr>
      <w:r w:rsidRPr="002A0A87">
        <w:t xml:space="preserve">O artigo 1° </w:t>
      </w:r>
      <w:r w:rsidR="001E17D3">
        <w:t xml:space="preserve">da propositura estabelece </w:t>
      </w:r>
      <w:r w:rsidR="009A5E92">
        <w:t xml:space="preserve">que </w:t>
      </w:r>
      <w:r w:rsidR="001E17D3">
        <w:t xml:space="preserve">o reajuste </w:t>
      </w:r>
      <w:r w:rsidR="009A5E92">
        <w:t xml:space="preserve">incide sobre o vale-alimentação mensal instituído pela Lei Municipal n° 5.387/2013 e sobre o vale-refeição instituído pela Lei Municipal n° 5.573/2014. </w:t>
      </w:r>
    </w:p>
    <w:p w:rsidR="00D85714" w:rsidP="005B27A9" w14:paraId="7FD6478C" w14:textId="0751F2DF">
      <w:pPr>
        <w:pStyle w:val="NormalWeb"/>
        <w:spacing w:line="360" w:lineRule="auto"/>
        <w:ind w:firstLine="720"/>
        <w:jc w:val="both"/>
      </w:pPr>
      <w:r w:rsidRPr="002A0A87">
        <w:t xml:space="preserve">O artigo 2° </w:t>
      </w:r>
      <w:r w:rsidR="009A5E92">
        <w:t xml:space="preserve">dispõe que as despesas decorrentes da execução da lei correrão por conta de dotações próprias consignadas no orçamento vigente, suplementadas se necessário. </w:t>
      </w:r>
    </w:p>
    <w:p w:rsidR="00914BD6" w:rsidRPr="002A0A87" w:rsidP="005B27A9" w14:paraId="6237EE5C" w14:textId="19DCF023">
      <w:pPr>
        <w:pStyle w:val="NormalWeb"/>
        <w:spacing w:line="360" w:lineRule="auto"/>
        <w:ind w:firstLine="720"/>
        <w:jc w:val="both"/>
      </w:pPr>
      <w:r>
        <w:t xml:space="preserve">O artigo 3° determina que os efeitos da lei retroagirão a 1° de março de 2026. </w:t>
      </w:r>
    </w:p>
    <w:p w:rsidR="00914BD6" w:rsidP="00914BD6" w14:paraId="77124B9D" w14:textId="77777777">
      <w:pPr>
        <w:pStyle w:val="NormalWeb"/>
        <w:spacing w:line="360" w:lineRule="auto"/>
        <w:ind w:firstLine="720"/>
        <w:jc w:val="both"/>
      </w:pPr>
      <w:r>
        <w:t xml:space="preserve">Por fim, o </w:t>
      </w:r>
      <w:r>
        <w:t>artigo 4</w:t>
      </w:r>
      <w:r w:rsidRPr="002A0A87" w:rsidR="00D85714">
        <w:t xml:space="preserve">° </w:t>
      </w:r>
      <w:r>
        <w:t xml:space="preserve">estabelece que a lei entrará em vigor na data de sua publicação. </w:t>
      </w:r>
    </w:p>
    <w:p w:rsidR="00382F0D" w:rsidRPr="002A0A87" w:rsidP="00914BD6" w14:paraId="699A1864" w14:textId="32B84946">
      <w:pPr>
        <w:pStyle w:val="NormalWeb"/>
        <w:spacing w:line="360" w:lineRule="auto"/>
        <w:ind w:firstLine="720"/>
        <w:jc w:val="both"/>
      </w:pPr>
      <w:r>
        <w:t>A</w:t>
      </w:r>
      <w:r w:rsidR="00AE3F8F">
        <w:t xml:space="preserve"> justificativa </w:t>
      </w:r>
      <w:r w:rsidR="00312103">
        <w:t>ap</w:t>
      </w:r>
      <w:r w:rsidR="00B74930">
        <w:t>resen</w:t>
      </w:r>
      <w:r>
        <w:t xml:space="preserve">tada pela Mesa Diretora </w:t>
      </w:r>
      <w:r w:rsidR="00536A86">
        <w:t xml:space="preserve">busca promover a valorização dos servidores ativos da Câmara Municipal, recompondo parcialmente o poder de compra dos benefícios alimentares diante das variações econômicas e do aumento do custo de vida. </w:t>
      </w:r>
    </w:p>
    <w:p w:rsidR="00F74441" w:rsidRPr="002A0A87" w:rsidP="003D6D21" w14:paraId="452BB01C" w14:textId="713FBB49">
      <w:pPr>
        <w:pStyle w:val="NormalWeb"/>
        <w:spacing w:line="360" w:lineRule="auto"/>
        <w:jc w:val="both"/>
      </w:pPr>
      <w:r>
        <w:pict>
          <v:rect id="_x0000_i1027" style="width:0;height:0.75pt" o:hralign="center" o:hrstd="t" o:hrnoshade="t" o:hr="t" fillcolor="#404040" stroked="f"/>
        </w:pict>
      </w:r>
    </w:p>
    <w:p w:rsidR="00F74441" w:rsidRPr="002A0A87" w:rsidP="003D6D21" w14:paraId="380FED2D" w14:textId="77777777">
      <w:pPr>
        <w:pStyle w:val="Heading3"/>
        <w:spacing w:line="360" w:lineRule="auto"/>
        <w:rPr>
          <w:color w:val="auto"/>
          <w:sz w:val="24"/>
          <w:szCs w:val="24"/>
        </w:rPr>
      </w:pPr>
      <w:r w:rsidRPr="002A0A87">
        <w:rPr>
          <w:rStyle w:val="Strong"/>
          <w:b/>
          <w:bCs w:val="0"/>
          <w:color w:val="auto"/>
          <w:sz w:val="24"/>
          <w:szCs w:val="24"/>
        </w:rPr>
        <w:t>II - CONCLUSÕES DO RELATOR</w:t>
      </w:r>
    </w:p>
    <w:p w:rsidR="000C3715" w:rsidRPr="002A0A87" w:rsidP="007B2789" w14:paraId="4DB48785" w14:textId="270A01D8">
      <w:pPr>
        <w:pStyle w:val="Heading4"/>
        <w:spacing w:line="360" w:lineRule="auto"/>
        <w:rPr>
          <w:color w:val="auto"/>
        </w:rPr>
      </w:pPr>
      <w:r w:rsidRPr="002A0A87">
        <w:rPr>
          <w:rStyle w:val="Strong"/>
          <w:b/>
          <w:bCs w:val="0"/>
          <w:color w:val="auto"/>
        </w:rPr>
        <w:tab/>
        <w:t>a) Legalidade e Constitucionalidade</w:t>
      </w:r>
    </w:p>
    <w:p w:rsidR="00CA4280" w:rsidP="007B2789" w14:paraId="6112DB68" w14:textId="228524BF">
      <w:pPr>
        <w:pStyle w:val="NormalWeb"/>
        <w:spacing w:line="360" w:lineRule="auto"/>
        <w:ind w:firstLine="720"/>
        <w:jc w:val="both"/>
      </w:pPr>
      <w:r w:rsidRPr="002A0A87">
        <w:t>O Proj</w:t>
      </w:r>
      <w:r w:rsidRPr="002A0A87" w:rsidR="007B2789">
        <w:t>eto de Lei</w:t>
      </w:r>
      <w:r w:rsidR="00536A86">
        <w:t xml:space="preserve"> nº 4</w:t>
      </w:r>
      <w:r w:rsidR="00914BD6">
        <w:t>7 de 2026</w:t>
      </w:r>
      <w:r w:rsidRPr="002A0A87">
        <w:t xml:space="preserve"> </w:t>
      </w:r>
      <w:r w:rsidR="00382F0D">
        <w:t>de autoria da Mesa Diretora,</w:t>
      </w:r>
      <w:r w:rsidRPr="002A0A87">
        <w:t xml:space="preserve"> </w:t>
      </w:r>
      <w:r w:rsidRPr="002A0A87">
        <w:t>está em conformidade com os princípios constitucionais e legai</w:t>
      </w:r>
      <w:r w:rsidRPr="002A0A87" w:rsidR="005B27A9">
        <w:t xml:space="preserve">s, não apresentando vícios de constitucionalidade ou </w:t>
      </w:r>
      <w:r w:rsidRPr="002A0A87">
        <w:t xml:space="preserve">legalidade. </w:t>
      </w:r>
    </w:p>
    <w:p w:rsidR="00536A86" w:rsidP="007B2789" w14:paraId="68DF7F96" w14:textId="616CBE9C">
      <w:pPr>
        <w:pStyle w:val="NormalWeb"/>
        <w:spacing w:line="360" w:lineRule="auto"/>
        <w:ind w:firstLine="720"/>
        <w:jc w:val="both"/>
      </w:pPr>
      <w:r>
        <w:t xml:space="preserve">Inicialmente, cumpre destacar que a Constituição Federal assegura aos Municípios competência para legislar sobre assuntos de interesse local, nos termos do artigo 30, inciso I. A matéria tratada no presente projeto versa sobre a organização administrativa interna do Poder Legislativo Municipal e sobre benefícios concedidos aos seus servidores, inserindo-se, portanto, na esfera de autonomia administrativa e financeira da Câmara Municipal. </w:t>
      </w:r>
    </w:p>
    <w:p w:rsidR="00B76616" w:rsidP="007B2789" w14:paraId="23D94289" w14:textId="2541549E">
      <w:pPr>
        <w:pStyle w:val="NormalWeb"/>
        <w:spacing w:line="360" w:lineRule="auto"/>
        <w:ind w:firstLine="720"/>
        <w:jc w:val="both"/>
      </w:pPr>
      <w:r>
        <w:t xml:space="preserve">O Poder Legislativo Municipal possui autonomia administrativa para disciplinar questões relacionadas ao funcionamento de sua estrutura interna e à gestão de seus servidores, observando os limites constitucionais e orçamentários aplicáveis. Nesse contexto, a iniciativa legislativa da Mesa Diretora mostra-se legítima, especialmente porque a proposta trata de benefício concedido exclusivamente aos servidores da Câmara Municipal. </w:t>
      </w:r>
    </w:p>
    <w:p w:rsidR="00B76616" w:rsidP="007B2789" w14:paraId="5657F62E" w14:textId="764BE434">
      <w:pPr>
        <w:pStyle w:val="NormalWeb"/>
        <w:spacing w:line="360" w:lineRule="auto"/>
        <w:ind w:firstLine="720"/>
        <w:jc w:val="both"/>
      </w:pPr>
      <w:r>
        <w:t>A competência da Mesa Diretora para apresentação da matéria encontra respaldo no artigo 18, inciso I, alínea “i”, e inciso IV, alínea “g”, da Resolução n° 276/2010 (Regimento I</w:t>
      </w:r>
      <w:r w:rsidR="007463AC">
        <w:t xml:space="preserve">nterno da Câmara Municipal), conforme expressamente indicado no próprio texto da propositura. </w:t>
      </w:r>
    </w:p>
    <w:p w:rsidR="007463AC" w:rsidP="007B2789" w14:paraId="587E88C3" w14:textId="3C6D2FEF">
      <w:pPr>
        <w:pStyle w:val="NormalWeb"/>
        <w:spacing w:line="360" w:lineRule="auto"/>
        <w:ind w:firstLine="720"/>
        <w:jc w:val="both"/>
      </w:pPr>
      <w:r>
        <w:t xml:space="preserve">Importante ressaltar que o vale-alimentação e o vale-refeição possuem natureza jurídica indenizatória e assistencial, não se incorporando à remuneração do servidor para quaisquer efeitos legais, entendimento amplamente consolidado pela jurisprudência pátria. Assim, o reajuste proposto não configura revisão geral anual de vencimentos, prevista no artigo 37, inciso X, da Constituição Federal, mas mera atualização de benefício alimentar destinado aos servidores ativos. </w:t>
      </w:r>
    </w:p>
    <w:p w:rsidR="007463AC" w:rsidP="007B2789" w14:paraId="43D4BC2A" w14:textId="415F3E31">
      <w:pPr>
        <w:pStyle w:val="NormalWeb"/>
        <w:spacing w:line="360" w:lineRule="auto"/>
        <w:ind w:firstLine="720"/>
        <w:jc w:val="both"/>
      </w:pPr>
      <w:r>
        <w:t xml:space="preserve">A proposta também observa os princípios constitucionais da razoabilidade, eficiência e valorização do servidor público, previstos no caput do artigo 37 da Constituição Federal, ao buscar recompor parcialmente o poder de compra dos benefícios alimentares diante da elevação do custo de vida. </w:t>
      </w:r>
    </w:p>
    <w:p w:rsidR="007463AC" w:rsidP="007463AC" w14:paraId="7DE1B204" w14:textId="17D5EFD5">
      <w:pPr>
        <w:pStyle w:val="NormalWeb"/>
        <w:spacing w:line="360" w:lineRule="auto"/>
        <w:ind w:firstLine="720"/>
        <w:jc w:val="both"/>
      </w:pPr>
      <w:r>
        <w:t>Sob o aspecto orçamentário e financeiro, o projeto encontra respaldo no artigo 169 da Constituição Federal e na Lei Complementar nº 101/2000 (Lei de Responsabilidade Fiscal), uma vez que há previsão expressa de que as despesas decorrentes da execução da lei correrão por conta de dotações próprias consignadas no orçamento vigente, suplementadas se necessário, conforme disposto no artigo 2º da propositura.</w:t>
      </w:r>
    </w:p>
    <w:p w:rsidR="007463AC" w:rsidP="00C25BC9" w14:paraId="16475D27" w14:textId="1DFD01BD">
      <w:pPr>
        <w:pStyle w:val="NormalWeb"/>
        <w:spacing w:line="360" w:lineRule="auto"/>
        <w:ind w:firstLine="720"/>
        <w:jc w:val="both"/>
      </w:pPr>
      <w:r>
        <w:t>Por fim, observa-se que a retroatividade dos efeitos financeiros a 1º de março de 2026, prevista no artigo 3º do projeto, não afronta o ordenamento jurídico, uma vez que se trata de benefício de natureza administrativa concedido aos servidores públicos, inexistindo vedação constitucional ou legal para a adoção da medida, desde que respeitada a disponibilidade orçamentária, o que se verifica no presente caso.</w:t>
      </w:r>
    </w:p>
    <w:p w:rsidR="00F972F9" w:rsidRPr="00C25BC9" w:rsidP="00C25BC9" w14:paraId="32081F86" w14:textId="50826923">
      <w:pPr>
        <w:pStyle w:val="NormalWeb"/>
        <w:spacing w:line="360" w:lineRule="auto"/>
        <w:ind w:firstLine="720"/>
        <w:jc w:val="both"/>
        <w:rPr>
          <w:rStyle w:val="Strong"/>
          <w:b w:val="0"/>
          <w:bCs w:val="0"/>
        </w:rPr>
      </w:pPr>
      <w:r w:rsidRPr="002A0A87">
        <w:t>Dia</w:t>
      </w:r>
      <w:r w:rsidRPr="002A0A87" w:rsidR="0059215B">
        <w:t>nte do exposto e</w:t>
      </w:r>
      <w:r w:rsidRPr="002A0A87">
        <w:t xml:space="preserve"> c</w:t>
      </w:r>
      <w:r w:rsidRPr="002A0A87" w:rsidR="000A1377">
        <w:t>om base nos fundamentos apresentados</w:t>
      </w:r>
      <w:r w:rsidRPr="002A0A87">
        <w:t>, concl</w:t>
      </w:r>
      <w:r w:rsidR="004B1D43">
        <w:t>ui-se que o P</w:t>
      </w:r>
      <w:r w:rsidR="004A36B8">
        <w:t>rojeto de Lei n° 4</w:t>
      </w:r>
      <w:r w:rsidR="00C25BC9">
        <w:t>7/2026</w:t>
      </w:r>
      <w:r w:rsidRPr="002A0A87">
        <w:t xml:space="preserve"> </w:t>
      </w:r>
      <w:r w:rsidR="0017789C">
        <w:t>de autoria da Mesa Diretora,</w:t>
      </w:r>
      <w:r w:rsidRPr="002A0A87" w:rsidR="00996280">
        <w:t xml:space="preserve"> </w:t>
      </w:r>
      <w:r w:rsidR="00A8132C">
        <w:t>não apresenta vícios de constitucionalidade material ou formal</w:t>
      </w:r>
      <w:r w:rsidRPr="002A0A87" w:rsidR="000A1377">
        <w:t xml:space="preserve">, </w:t>
      </w:r>
      <w:r w:rsidR="00A8132C">
        <w:t xml:space="preserve">estando </w:t>
      </w:r>
      <w:r w:rsidRPr="002A0A87" w:rsidR="000A1377">
        <w:t>apto a</w:t>
      </w:r>
      <w:r w:rsidRPr="002A0A87" w:rsidR="00996280">
        <w:t xml:space="preserve"> regular tramitação</w:t>
      </w:r>
      <w:r w:rsidRPr="002A0A87" w:rsidR="0059215B">
        <w:t>.</w:t>
      </w:r>
    </w:p>
    <w:p w:rsidR="00B45DA1" w:rsidP="00F972F9" w14:paraId="0A242704" w14:textId="5756A516">
      <w:pPr>
        <w:pStyle w:val="NormalWeb"/>
        <w:spacing w:line="360" w:lineRule="auto"/>
        <w:ind w:firstLine="720"/>
        <w:jc w:val="both"/>
      </w:pPr>
      <w:r w:rsidRPr="002A0A87">
        <w:rPr>
          <w:rStyle w:val="Strong"/>
          <w:bCs w:val="0"/>
        </w:rPr>
        <w:t>b) Conveniência e Oportunidade</w:t>
      </w:r>
    </w:p>
    <w:p w:rsidR="00C25BC9" w:rsidP="00C25BC9" w14:paraId="6855D2E2" w14:textId="66C1E9A7">
      <w:pPr>
        <w:pStyle w:val="NormalWeb"/>
        <w:spacing w:line="360" w:lineRule="auto"/>
        <w:ind w:firstLine="720"/>
        <w:jc w:val="both"/>
      </w:pPr>
      <w:r>
        <w:t>O Projeto de Lei nº 4</w:t>
      </w:r>
      <w:r>
        <w:t xml:space="preserve">7/2026 </w:t>
      </w:r>
      <w:r>
        <w:t xml:space="preserve">revela-se conveniente e oportuno sob os aspectos administrativo, funcional e social, tendo em vista que a proposta busca promover a atualização dos benefícios de vale-alimentação e vale-refeição concedidos aos servidores ativos da Câmara Municipal de Mogi Mirim. </w:t>
      </w:r>
    </w:p>
    <w:p w:rsidR="004A36B8" w:rsidP="00C25BC9" w14:paraId="382D953E" w14:textId="1ECF6450">
      <w:pPr>
        <w:pStyle w:val="NormalWeb"/>
        <w:spacing w:line="360" w:lineRule="auto"/>
        <w:ind w:firstLine="720"/>
        <w:jc w:val="both"/>
      </w:pPr>
      <w:r>
        <w:t xml:space="preserve">A medida possui relevante interesse público, pois visa assegurar melhores condições aos servidores responsáveis pela execução das atividades legislativas e administrativas desta Casa de Leis. Os benefícios alimentares possuem caráter essencial e contribuem diretamente para a manutenção da qualidade de vida, dignidade e bem-estar dos servidores públicos. </w:t>
      </w:r>
    </w:p>
    <w:p w:rsidR="004A36B8" w:rsidP="00C25BC9" w14:paraId="15481BC5" w14:textId="3BD1F664">
      <w:pPr>
        <w:pStyle w:val="NormalWeb"/>
        <w:spacing w:line="360" w:lineRule="auto"/>
        <w:ind w:firstLine="720"/>
        <w:jc w:val="both"/>
      </w:pPr>
      <w:r>
        <w:t xml:space="preserve">Nos últimos anos, o aumento continuo dos custos relacionados à alimentação impactou significativamente o poder de compra da população, especialmente no que se refere às despesas </w:t>
      </w:r>
      <w:r>
        <w:t xml:space="preserve">básicas do cotidiano. Nesse contexto, o reajuste de 10% proposto pela Mesa Diretora busca recompor parcialmente as perdas inflacionárias e preservar a efetividade dos benefícios concedidos aos servidores. </w:t>
      </w:r>
    </w:p>
    <w:p w:rsidR="004A36B8" w:rsidP="00C25BC9" w14:paraId="7224E9AA" w14:textId="59C4776A">
      <w:pPr>
        <w:pStyle w:val="NormalWeb"/>
        <w:spacing w:line="360" w:lineRule="auto"/>
        <w:ind w:firstLine="720"/>
        <w:jc w:val="both"/>
      </w:pPr>
      <w:r>
        <w:t xml:space="preserve">Importante destacar que a valorização do servidor público constitui instrumento fundamental para o fortalecimento da eficiência administrativa, princípio previsto no artigo 37 da Constituição Federal. Servidores adequadamente valorizados e assistidos refletem diretamente na melhoria da prestação dos serviços públicos e no adequado funcionamento das atividades legislativas. </w:t>
      </w:r>
    </w:p>
    <w:p w:rsidR="004A36B8" w:rsidP="00C25BC9" w14:paraId="6125FB8B" w14:textId="5BD74024">
      <w:pPr>
        <w:pStyle w:val="NormalWeb"/>
        <w:spacing w:line="360" w:lineRule="auto"/>
        <w:ind w:firstLine="720"/>
        <w:jc w:val="both"/>
      </w:pPr>
      <w:r>
        <w:t>A</w:t>
      </w:r>
      <w:r>
        <w:t xml:space="preserve"> proposta demonstra responsabilidade administrativa e financeira, uma vez que o impacto orçamentário apresentado é reduzido e compatível com a capacidade financeira da Câmara Municipal, representando apenas 0,26% do orçamento total do Poder Legislativo.</w:t>
      </w:r>
    </w:p>
    <w:p w:rsidR="00F51BD8" w:rsidP="00C25BC9" w14:paraId="6BC49DB6" w14:textId="2031BBA5">
      <w:pPr>
        <w:pStyle w:val="NormalWeb"/>
        <w:spacing w:line="360" w:lineRule="auto"/>
        <w:ind w:firstLine="720"/>
        <w:jc w:val="both"/>
      </w:pPr>
      <w:r>
        <w:t>Ressalte-se ainda que os benefícios de vale-alimentação e vale-refeição não representam privilégio, mas importante mecanismo de assistência funcional, destinado a proporcionar melhores condições de trabalho e manutenção da subsistência dos servidores.</w:t>
      </w:r>
    </w:p>
    <w:p w:rsidR="00F51BD8" w:rsidP="00C25BC9" w14:paraId="2EF85E11" w14:textId="24ADA392">
      <w:pPr>
        <w:pStyle w:val="NormalWeb"/>
        <w:spacing w:line="360" w:lineRule="auto"/>
        <w:ind w:firstLine="720"/>
        <w:jc w:val="both"/>
      </w:pPr>
      <w:r>
        <w:t>Por fim, verifica-se que a medida contribui para a valorização institucional do quadro funcional da Câmara Municipal, reconhecendo a importância dos servidores para a condução, desenvolvimento e continuidade dos trabalhos legislativos, administrativos e de atendimento à população.</w:t>
      </w:r>
    </w:p>
    <w:p w:rsidR="00906F65" w:rsidP="00906F65" w14:paraId="6ABAD97D" w14:textId="13B64E26">
      <w:pPr>
        <w:pStyle w:val="NormalWeb"/>
        <w:spacing w:line="360" w:lineRule="auto"/>
        <w:ind w:firstLine="720"/>
        <w:jc w:val="both"/>
      </w:pPr>
      <w:r>
        <w:t>Diante do exposto, conc</w:t>
      </w:r>
      <w:r w:rsidR="00F51BD8">
        <w:t>lui-se que o Projeto de Lei nº 4</w:t>
      </w:r>
      <w:r>
        <w:t xml:space="preserve">7/2026 é conveniente e oportuno, </w:t>
      </w:r>
      <w:r w:rsidR="00F51BD8">
        <w:t xml:space="preserve">atendendo ao interesse público, aos princípios da eficiência administrativa e da valorização do servidor público. </w:t>
      </w:r>
    </w:p>
    <w:p w:rsidR="00C25BC9" w:rsidP="001C72FF" w14:paraId="21322628" w14:textId="193C433C">
      <w:pPr>
        <w:pStyle w:val="NormalWeb"/>
        <w:spacing w:line="360" w:lineRule="auto"/>
        <w:jc w:val="both"/>
        <w:rPr>
          <w:rStyle w:val="Strong"/>
          <w:b w:val="0"/>
          <w:bCs w:val="0"/>
        </w:rPr>
      </w:pPr>
      <w:r>
        <w:pict>
          <v:rect id="_x0000_i1028" style="width:0;height:0.75pt" o:hralign="center" o:hrstd="t" o:hrnoshade="t" o:hr="t" fillcolor="#404040" stroked="f"/>
        </w:pict>
      </w:r>
    </w:p>
    <w:p w:rsidR="00F51BD8" w:rsidRPr="002A0A87" w:rsidP="00F51BD8" w14:paraId="5729F578" w14:textId="77777777">
      <w:pPr>
        <w:pStyle w:val="Heading3"/>
        <w:spacing w:line="360" w:lineRule="auto"/>
        <w:rPr>
          <w:color w:val="auto"/>
          <w:sz w:val="24"/>
          <w:szCs w:val="24"/>
        </w:rPr>
      </w:pPr>
      <w:r w:rsidRPr="002A0A87">
        <w:rPr>
          <w:rStyle w:val="Strong"/>
          <w:b/>
          <w:bCs w:val="0"/>
          <w:color w:val="auto"/>
          <w:sz w:val="24"/>
          <w:szCs w:val="24"/>
        </w:rPr>
        <w:t>III – IMPACTO FINANCEIRO E ORÇAMENTÁRIO</w:t>
      </w:r>
    </w:p>
    <w:p w:rsidR="00E85CBF" w:rsidRPr="00E85CBF" w:rsidP="00CF47B6" w14:paraId="5358CE5D" w14:textId="128DBA54">
      <w:pPr>
        <w:pStyle w:val="NormalWeb"/>
        <w:spacing w:line="360" w:lineRule="auto"/>
        <w:ind w:firstLine="720"/>
        <w:contextualSpacing/>
        <w:jc w:val="both"/>
      </w:pPr>
      <w:r w:rsidRPr="00E85CBF">
        <w:t xml:space="preserve">Do ponto de vista orçamentário da proposta, se faz importante trazer à tona algumas informações. Foi anexado nos autos o Ofício nº 14/2026 – CONTABILIDADE, que apresenta a projeção dos gastos e o impacto financeiro da proposta, afirmando que atualização dos vales </w:t>
      </w:r>
      <w:r w:rsidRPr="00E85CBF">
        <w:t>em 10% foi devidamente prevista no orçamento anual vigente, para tanto, não haverá impacto orçamentário não previsto.</w:t>
      </w:r>
    </w:p>
    <w:p w:rsidR="00E85CBF" w:rsidRPr="00E85CBF" w:rsidP="00CF47B6" w14:paraId="10F1B2F5" w14:textId="77777777">
      <w:pPr>
        <w:pStyle w:val="NormalWeb"/>
        <w:spacing w:line="360" w:lineRule="auto"/>
        <w:ind w:firstLine="720"/>
        <w:contextualSpacing/>
        <w:jc w:val="both"/>
      </w:pPr>
    </w:p>
    <w:p w:rsidR="00E85CBF" w:rsidRPr="00E85CBF" w:rsidP="00CF47B6" w14:paraId="236B2D6F" w14:textId="77777777">
      <w:pPr>
        <w:pStyle w:val="NormalWeb"/>
        <w:spacing w:line="360" w:lineRule="auto"/>
        <w:ind w:firstLine="720"/>
        <w:contextualSpacing/>
        <w:jc w:val="both"/>
      </w:pPr>
      <w:r w:rsidRPr="00E85CBF">
        <w:t>No que tange aos reflexos financeiros, a proposta gerará o seguinte cenário de impacto financeiro:</w:t>
      </w:r>
    </w:p>
    <w:p w:rsidR="00E85CBF" w:rsidRPr="00E85CBF" w:rsidP="00E85CBF" w14:paraId="61BAB94A" w14:textId="77777777">
      <w:pPr>
        <w:pStyle w:val="NormalWeb"/>
        <w:spacing w:line="276" w:lineRule="auto"/>
        <w:contextualSpacing/>
        <w:jc w:val="both"/>
      </w:pPr>
    </w:p>
    <w:p w:rsidR="00E85CBF" w:rsidRPr="00E85CBF" w:rsidP="00E85CBF" w14:paraId="53632E0A" w14:textId="77777777">
      <w:pPr>
        <w:pStyle w:val="NormalWeb"/>
        <w:numPr>
          <w:ilvl w:val="0"/>
          <w:numId w:val="17"/>
        </w:numPr>
        <w:spacing w:line="276" w:lineRule="auto"/>
        <w:contextualSpacing/>
        <w:jc w:val="both"/>
      </w:pPr>
      <w:r w:rsidRPr="00E85CBF">
        <w:t>Vale Alimentação – 31 servidores</w:t>
      </w:r>
      <w:r w:rsidRPr="00E85CBF">
        <w:rPr>
          <w:sz w:val="20"/>
        </w:rPr>
        <w:t xml:space="preserve"> (valores previstos para 10 meses)</w:t>
      </w:r>
    </w:p>
    <w:p w:rsidR="00E85CBF" w:rsidRPr="00E85CBF" w:rsidP="00E85CBF" w14:paraId="1EEA0D87" w14:textId="77777777">
      <w:pPr>
        <w:pStyle w:val="NormalWeb"/>
        <w:spacing w:line="276" w:lineRule="auto"/>
        <w:ind w:left="720"/>
        <w:contextualSpacing/>
        <w:jc w:val="both"/>
      </w:pPr>
    </w:p>
    <w:tbl>
      <w:tblPr>
        <w:tblStyle w:val="PlainTable2"/>
        <w:tblW w:w="9134" w:type="dxa"/>
        <w:tblLook w:val="04A0"/>
      </w:tblPr>
      <w:tblGrid>
        <w:gridCol w:w="1396"/>
        <w:gridCol w:w="1590"/>
        <w:gridCol w:w="1996"/>
        <w:gridCol w:w="2534"/>
        <w:gridCol w:w="1618"/>
      </w:tblGrid>
      <w:tr w14:paraId="5302570C" w14:textId="77777777" w:rsidTr="00892DB4">
        <w:tblPrEx>
          <w:tblW w:w="9134" w:type="dxa"/>
          <w:tblLook w:val="04A0"/>
        </w:tblPrEx>
        <w:trPr>
          <w:trHeight w:val="491"/>
        </w:trPr>
        <w:tc>
          <w:tcPr>
            <w:tcW w:w="1404" w:type="dxa"/>
          </w:tcPr>
          <w:p w:rsidR="00E85CBF" w:rsidRPr="00E85CBF" w:rsidP="00E85CBF" w14:paraId="1415A9FF" w14:textId="77777777">
            <w:pPr>
              <w:pStyle w:val="NormalWeb"/>
              <w:spacing w:line="276" w:lineRule="auto"/>
              <w:contextualSpacing/>
              <w:jc w:val="both"/>
            </w:pPr>
            <w:r w:rsidRPr="00E85CBF">
              <w:t>Valor Atual</w:t>
            </w:r>
          </w:p>
        </w:tc>
        <w:tc>
          <w:tcPr>
            <w:tcW w:w="1551" w:type="dxa"/>
          </w:tcPr>
          <w:p w:rsidR="00E85CBF" w:rsidRPr="00E85CBF" w:rsidP="00E85CBF" w14:paraId="1E2746B9" w14:textId="77777777">
            <w:pPr>
              <w:pStyle w:val="NormalWeb"/>
              <w:spacing w:line="276" w:lineRule="auto"/>
              <w:contextualSpacing/>
              <w:jc w:val="both"/>
            </w:pPr>
            <w:r w:rsidRPr="00E85CBF">
              <w:t xml:space="preserve">Total anual </w:t>
            </w:r>
          </w:p>
        </w:tc>
        <w:tc>
          <w:tcPr>
            <w:tcW w:w="2007" w:type="dxa"/>
          </w:tcPr>
          <w:p w:rsidR="00E85CBF" w:rsidRPr="00E85CBF" w:rsidP="00E85CBF" w14:paraId="63D0EBB1" w14:textId="77777777">
            <w:pPr>
              <w:pStyle w:val="NormalWeb"/>
              <w:spacing w:line="276" w:lineRule="auto"/>
              <w:contextualSpacing/>
              <w:jc w:val="both"/>
            </w:pPr>
            <w:r w:rsidRPr="00E85CBF">
              <w:t>Valor Reajustado</w:t>
            </w:r>
          </w:p>
        </w:tc>
        <w:tc>
          <w:tcPr>
            <w:tcW w:w="2551" w:type="dxa"/>
          </w:tcPr>
          <w:p w:rsidR="00E85CBF" w:rsidRPr="00E85CBF" w:rsidP="00E85CBF" w14:paraId="60EEBFE3" w14:textId="77777777">
            <w:pPr>
              <w:pStyle w:val="NormalWeb"/>
              <w:spacing w:line="276" w:lineRule="auto"/>
              <w:contextualSpacing/>
              <w:jc w:val="both"/>
            </w:pPr>
            <w:r w:rsidRPr="00E85CBF">
              <w:t>Total anual reajustado</w:t>
            </w:r>
          </w:p>
        </w:tc>
        <w:tc>
          <w:tcPr>
            <w:tcW w:w="1621" w:type="dxa"/>
          </w:tcPr>
          <w:p w:rsidR="00E85CBF" w:rsidRPr="00E85CBF" w:rsidP="00E85CBF" w14:paraId="42445875" w14:textId="77777777">
            <w:pPr>
              <w:pStyle w:val="NormalWeb"/>
              <w:spacing w:line="276" w:lineRule="auto"/>
              <w:contextualSpacing/>
              <w:jc w:val="both"/>
            </w:pPr>
            <w:r w:rsidRPr="00E85CBF">
              <w:t>Diferença</w:t>
            </w:r>
          </w:p>
        </w:tc>
      </w:tr>
      <w:tr w14:paraId="189C5432" w14:textId="77777777" w:rsidTr="00892DB4">
        <w:tblPrEx>
          <w:tblW w:w="9134" w:type="dxa"/>
          <w:tblLook w:val="04A0"/>
        </w:tblPrEx>
        <w:trPr>
          <w:trHeight w:val="491"/>
        </w:trPr>
        <w:tc>
          <w:tcPr>
            <w:tcW w:w="1404" w:type="dxa"/>
          </w:tcPr>
          <w:p w:rsidR="00E85CBF" w:rsidRPr="00E85CBF" w:rsidP="00E85CBF" w14:paraId="1BD23955" w14:textId="77777777">
            <w:pPr>
              <w:pStyle w:val="NormalWeb"/>
              <w:spacing w:line="276" w:lineRule="auto"/>
              <w:contextualSpacing/>
              <w:jc w:val="center"/>
              <w:rPr>
                <w:b w:val="0"/>
              </w:rPr>
            </w:pPr>
            <w:r w:rsidRPr="00E85CBF">
              <w:rPr>
                <w:b w:val="0"/>
              </w:rPr>
              <w:t>R$ 603,96</w:t>
            </w:r>
          </w:p>
        </w:tc>
        <w:tc>
          <w:tcPr>
            <w:tcW w:w="1551" w:type="dxa"/>
          </w:tcPr>
          <w:p w:rsidR="00E85CBF" w:rsidRPr="00E85CBF" w:rsidP="00E85CBF" w14:paraId="6AEE40C7" w14:textId="77777777">
            <w:pPr>
              <w:pStyle w:val="NormalWeb"/>
              <w:spacing w:line="276" w:lineRule="auto"/>
              <w:contextualSpacing/>
              <w:jc w:val="center"/>
            </w:pPr>
            <w:r w:rsidRPr="00E85CBF">
              <w:t>RS187.227,60</w:t>
            </w:r>
          </w:p>
        </w:tc>
        <w:tc>
          <w:tcPr>
            <w:tcW w:w="2007" w:type="dxa"/>
          </w:tcPr>
          <w:p w:rsidR="00E85CBF" w:rsidRPr="00E85CBF" w:rsidP="00E85CBF" w14:paraId="5137F665" w14:textId="77777777">
            <w:pPr>
              <w:pStyle w:val="NormalWeb"/>
              <w:spacing w:line="276" w:lineRule="auto"/>
              <w:contextualSpacing/>
              <w:jc w:val="center"/>
            </w:pPr>
            <w:r w:rsidRPr="00E85CBF">
              <w:t>R$664,36</w:t>
            </w:r>
          </w:p>
        </w:tc>
        <w:tc>
          <w:tcPr>
            <w:tcW w:w="2551" w:type="dxa"/>
          </w:tcPr>
          <w:p w:rsidR="00E85CBF" w:rsidRPr="00E85CBF" w:rsidP="00E85CBF" w14:paraId="6AF4744E" w14:textId="77777777">
            <w:pPr>
              <w:pStyle w:val="NormalWeb"/>
              <w:spacing w:line="276" w:lineRule="auto"/>
              <w:contextualSpacing/>
              <w:jc w:val="center"/>
            </w:pPr>
            <w:r w:rsidRPr="00E85CBF">
              <w:t>R$205.951,60</w:t>
            </w:r>
          </w:p>
        </w:tc>
        <w:tc>
          <w:tcPr>
            <w:tcW w:w="1621" w:type="dxa"/>
          </w:tcPr>
          <w:p w:rsidR="00E85CBF" w:rsidRPr="00E85CBF" w:rsidP="00E85CBF" w14:paraId="3F1EB897" w14:textId="77777777">
            <w:pPr>
              <w:pStyle w:val="NormalWeb"/>
              <w:spacing w:line="276" w:lineRule="auto"/>
              <w:contextualSpacing/>
              <w:jc w:val="center"/>
            </w:pPr>
            <w:r w:rsidRPr="00E85CBF">
              <w:t>R$18.724,00</w:t>
            </w:r>
          </w:p>
        </w:tc>
      </w:tr>
    </w:tbl>
    <w:p w:rsidR="00E85CBF" w:rsidRPr="00E85CBF" w:rsidP="00E85CBF" w14:paraId="4056C5C0" w14:textId="77777777">
      <w:pPr>
        <w:pStyle w:val="NormalWeb"/>
        <w:spacing w:line="276" w:lineRule="auto"/>
        <w:contextualSpacing/>
        <w:jc w:val="both"/>
        <w:rPr>
          <w:sz w:val="20"/>
        </w:rPr>
      </w:pPr>
    </w:p>
    <w:p w:rsidR="00E85CBF" w:rsidRPr="00E85CBF" w:rsidP="00E85CBF" w14:paraId="5BED2A72" w14:textId="77777777">
      <w:pPr>
        <w:pStyle w:val="NormalWeb"/>
        <w:numPr>
          <w:ilvl w:val="0"/>
          <w:numId w:val="17"/>
        </w:numPr>
        <w:spacing w:line="276" w:lineRule="auto"/>
        <w:contextualSpacing/>
        <w:jc w:val="both"/>
      </w:pPr>
      <w:r w:rsidRPr="00E85CBF">
        <w:t xml:space="preserve">Vale Refeição – 31 servidores </w:t>
      </w:r>
      <w:r w:rsidRPr="00E85CBF">
        <w:rPr>
          <w:sz w:val="20"/>
        </w:rPr>
        <w:t>(valores previstos para 10 meses)</w:t>
      </w:r>
    </w:p>
    <w:p w:rsidR="00E85CBF" w:rsidRPr="00E85CBF" w:rsidP="00E85CBF" w14:paraId="34822D22" w14:textId="77777777">
      <w:pPr>
        <w:pStyle w:val="NormalWeb"/>
        <w:spacing w:line="276" w:lineRule="auto"/>
        <w:ind w:left="720"/>
        <w:contextualSpacing/>
        <w:jc w:val="both"/>
      </w:pPr>
    </w:p>
    <w:tbl>
      <w:tblPr>
        <w:tblStyle w:val="PlainTable2"/>
        <w:tblW w:w="9134" w:type="dxa"/>
        <w:tblLook w:val="04A0"/>
      </w:tblPr>
      <w:tblGrid>
        <w:gridCol w:w="1398"/>
        <w:gridCol w:w="1577"/>
        <w:gridCol w:w="2000"/>
        <w:gridCol w:w="2540"/>
        <w:gridCol w:w="1619"/>
      </w:tblGrid>
      <w:tr w14:paraId="21A4C0FF" w14:textId="77777777" w:rsidTr="00892DB4">
        <w:tblPrEx>
          <w:tblW w:w="9134" w:type="dxa"/>
          <w:tblLook w:val="04A0"/>
        </w:tblPrEx>
        <w:trPr>
          <w:trHeight w:val="491"/>
        </w:trPr>
        <w:tc>
          <w:tcPr>
            <w:tcW w:w="1404" w:type="dxa"/>
          </w:tcPr>
          <w:p w:rsidR="00E85CBF" w:rsidRPr="00E85CBF" w:rsidP="00E85CBF" w14:paraId="010A4367" w14:textId="77777777">
            <w:pPr>
              <w:pStyle w:val="NormalWeb"/>
              <w:spacing w:line="276" w:lineRule="auto"/>
              <w:contextualSpacing/>
              <w:jc w:val="both"/>
            </w:pPr>
            <w:r w:rsidRPr="00E85CBF">
              <w:t>Valor Atual</w:t>
            </w:r>
          </w:p>
        </w:tc>
        <w:tc>
          <w:tcPr>
            <w:tcW w:w="1551" w:type="dxa"/>
          </w:tcPr>
          <w:p w:rsidR="00E85CBF" w:rsidRPr="00E85CBF" w:rsidP="00E85CBF" w14:paraId="01C875ED" w14:textId="77777777">
            <w:pPr>
              <w:pStyle w:val="NormalWeb"/>
              <w:spacing w:line="276" w:lineRule="auto"/>
              <w:contextualSpacing/>
              <w:jc w:val="both"/>
            </w:pPr>
            <w:r w:rsidRPr="00E85CBF">
              <w:t xml:space="preserve">Total anual </w:t>
            </w:r>
          </w:p>
        </w:tc>
        <w:tc>
          <w:tcPr>
            <w:tcW w:w="2007" w:type="dxa"/>
          </w:tcPr>
          <w:p w:rsidR="00E85CBF" w:rsidRPr="00E85CBF" w:rsidP="00E85CBF" w14:paraId="0260BEB9" w14:textId="77777777">
            <w:pPr>
              <w:pStyle w:val="NormalWeb"/>
              <w:spacing w:line="276" w:lineRule="auto"/>
              <w:contextualSpacing/>
              <w:jc w:val="both"/>
            </w:pPr>
            <w:r w:rsidRPr="00E85CBF">
              <w:t>Valor Reajustado</w:t>
            </w:r>
          </w:p>
        </w:tc>
        <w:tc>
          <w:tcPr>
            <w:tcW w:w="2551" w:type="dxa"/>
          </w:tcPr>
          <w:p w:rsidR="00E85CBF" w:rsidRPr="00E85CBF" w:rsidP="00E85CBF" w14:paraId="548171F8" w14:textId="77777777">
            <w:pPr>
              <w:pStyle w:val="NormalWeb"/>
              <w:spacing w:line="276" w:lineRule="auto"/>
              <w:contextualSpacing/>
              <w:jc w:val="both"/>
            </w:pPr>
            <w:r w:rsidRPr="00E85CBF">
              <w:t>Total anual reajustado</w:t>
            </w:r>
          </w:p>
        </w:tc>
        <w:tc>
          <w:tcPr>
            <w:tcW w:w="1621" w:type="dxa"/>
          </w:tcPr>
          <w:p w:rsidR="00E85CBF" w:rsidRPr="00E85CBF" w:rsidP="00E85CBF" w14:paraId="04FE0F7C" w14:textId="77777777">
            <w:pPr>
              <w:pStyle w:val="NormalWeb"/>
              <w:spacing w:line="276" w:lineRule="auto"/>
              <w:contextualSpacing/>
              <w:jc w:val="both"/>
            </w:pPr>
            <w:r w:rsidRPr="00E85CBF">
              <w:t>Diferença</w:t>
            </w:r>
          </w:p>
        </w:tc>
      </w:tr>
      <w:tr w14:paraId="1ACF039C" w14:textId="77777777" w:rsidTr="00892DB4">
        <w:tblPrEx>
          <w:tblW w:w="9134" w:type="dxa"/>
          <w:tblLook w:val="04A0"/>
        </w:tblPrEx>
        <w:trPr>
          <w:trHeight w:val="491"/>
        </w:trPr>
        <w:tc>
          <w:tcPr>
            <w:tcW w:w="1404" w:type="dxa"/>
          </w:tcPr>
          <w:p w:rsidR="00E85CBF" w:rsidRPr="00E85CBF" w:rsidP="00E85CBF" w14:paraId="488CABE9" w14:textId="77777777">
            <w:pPr>
              <w:pStyle w:val="NormalWeb"/>
              <w:spacing w:line="276" w:lineRule="auto"/>
              <w:contextualSpacing/>
              <w:jc w:val="center"/>
              <w:rPr>
                <w:b w:val="0"/>
              </w:rPr>
            </w:pPr>
            <w:r w:rsidRPr="00E85CBF">
              <w:rPr>
                <w:b w:val="0"/>
              </w:rPr>
              <w:t>R$ 930,01</w:t>
            </w:r>
          </w:p>
        </w:tc>
        <w:tc>
          <w:tcPr>
            <w:tcW w:w="1551" w:type="dxa"/>
          </w:tcPr>
          <w:p w:rsidR="00E85CBF" w:rsidRPr="00E85CBF" w:rsidP="00E85CBF" w14:paraId="57ABE91A" w14:textId="77777777">
            <w:pPr>
              <w:pStyle w:val="NormalWeb"/>
              <w:spacing w:line="276" w:lineRule="auto"/>
              <w:contextualSpacing/>
              <w:jc w:val="center"/>
            </w:pPr>
            <w:r w:rsidRPr="00E85CBF">
              <w:t>R$288.303,10</w:t>
            </w:r>
          </w:p>
        </w:tc>
        <w:tc>
          <w:tcPr>
            <w:tcW w:w="2007" w:type="dxa"/>
          </w:tcPr>
          <w:p w:rsidR="00E85CBF" w:rsidRPr="00E85CBF" w:rsidP="00E85CBF" w14:paraId="791A7404" w14:textId="77777777">
            <w:pPr>
              <w:pStyle w:val="NormalWeb"/>
              <w:spacing w:line="276" w:lineRule="auto"/>
              <w:contextualSpacing/>
              <w:jc w:val="center"/>
            </w:pPr>
            <w:r w:rsidRPr="00E85CBF">
              <w:t>R$1.023,00</w:t>
            </w:r>
          </w:p>
        </w:tc>
        <w:tc>
          <w:tcPr>
            <w:tcW w:w="2551" w:type="dxa"/>
          </w:tcPr>
          <w:p w:rsidR="00E85CBF" w:rsidRPr="00E85CBF" w:rsidP="00E85CBF" w14:paraId="06E1BB09" w14:textId="77777777">
            <w:pPr>
              <w:pStyle w:val="NormalWeb"/>
              <w:spacing w:line="276" w:lineRule="auto"/>
              <w:contextualSpacing/>
              <w:jc w:val="center"/>
            </w:pPr>
            <w:r w:rsidRPr="00E85CBF">
              <w:t>R$317.130,00</w:t>
            </w:r>
          </w:p>
        </w:tc>
        <w:tc>
          <w:tcPr>
            <w:tcW w:w="1621" w:type="dxa"/>
          </w:tcPr>
          <w:p w:rsidR="00E85CBF" w:rsidRPr="00E85CBF" w:rsidP="00E85CBF" w14:paraId="1CD10C3B" w14:textId="77777777">
            <w:pPr>
              <w:pStyle w:val="NormalWeb"/>
              <w:spacing w:line="276" w:lineRule="auto"/>
              <w:contextualSpacing/>
              <w:jc w:val="center"/>
            </w:pPr>
            <w:r w:rsidRPr="00E85CBF">
              <w:t>R$28.826,90</w:t>
            </w:r>
          </w:p>
        </w:tc>
      </w:tr>
    </w:tbl>
    <w:p w:rsidR="00E85CBF" w:rsidRPr="00E85CBF" w:rsidP="00CF47B6" w14:paraId="12CA38CA" w14:textId="77777777">
      <w:pPr>
        <w:pStyle w:val="NormalWeb"/>
        <w:spacing w:line="360" w:lineRule="auto"/>
        <w:ind w:firstLine="720"/>
        <w:contextualSpacing/>
        <w:jc w:val="both"/>
      </w:pPr>
      <w:r w:rsidRPr="00E85CBF">
        <w:t xml:space="preserve">De acordo com o informado, o total do impacto financeiro será de </w:t>
      </w:r>
      <w:r w:rsidRPr="00E85CBF">
        <w:rPr>
          <w:b/>
        </w:rPr>
        <w:t>R$47.550,90</w:t>
      </w:r>
      <w:r w:rsidRPr="00E85CBF">
        <w:t xml:space="preserve"> o que representa um índice de </w:t>
      </w:r>
      <w:r w:rsidRPr="00E85CBF">
        <w:rPr>
          <w:b/>
        </w:rPr>
        <w:t>0,26%</w:t>
      </w:r>
      <w:r w:rsidRPr="00E85CBF">
        <w:t xml:space="preserve"> do valor atual do orçamento camarário (R$ 17.939.000,00).</w:t>
      </w:r>
    </w:p>
    <w:p w:rsidR="00E85CBF" w:rsidRPr="00E85CBF" w:rsidP="00CF47B6" w14:paraId="72F14AF0" w14:textId="77777777">
      <w:pPr>
        <w:pStyle w:val="NormalWeb"/>
        <w:spacing w:line="360" w:lineRule="auto"/>
        <w:ind w:firstLine="720"/>
        <w:contextualSpacing/>
        <w:jc w:val="both"/>
      </w:pPr>
    </w:p>
    <w:p w:rsidR="00F51BD8" w:rsidRPr="002A0A87" w:rsidP="00CF47B6" w14:paraId="11B23B4A" w14:textId="26F4B1D8">
      <w:pPr>
        <w:pStyle w:val="NormalWeb"/>
        <w:spacing w:line="360" w:lineRule="auto"/>
        <w:ind w:firstLine="720"/>
        <w:contextualSpacing/>
        <w:jc w:val="both"/>
      </w:pPr>
      <w:r w:rsidRPr="00E85CBF">
        <w:t>Ressalta-se que todos servidores desempenham papel importantíssimo para condução, desenvolvimento e manutenção dos trabalhos legislativos da Câmara, sendo merecedores, sempre que possível, da valorização profissional dos membros desta Casa de Leis.</w:t>
      </w:r>
    </w:p>
    <w:p w:rsidR="00F74441" w:rsidRPr="002A0A87" w:rsidP="00CF47B6" w14:paraId="68542A3A" w14:textId="16DE8C91">
      <w:pPr>
        <w:pStyle w:val="Heading3"/>
        <w:spacing w:line="360" w:lineRule="auto"/>
        <w:rPr>
          <w:color w:val="auto"/>
          <w:sz w:val="24"/>
          <w:szCs w:val="24"/>
        </w:rPr>
      </w:pPr>
      <w:r>
        <w:pict>
          <v:rect id="_x0000_i1029" style="width:0;height:0.75pt" o:hralign="center" o:hrstd="t" o:hrnoshade="t" o:hr="t" o:bullet="t" fillcolor="#404040" stroked="f"/>
        </w:pict>
      </w:r>
      <w:r w:rsidR="00015C44">
        <w:rPr>
          <w:rStyle w:val="Strong"/>
          <w:b/>
          <w:bCs w:val="0"/>
          <w:color w:val="auto"/>
          <w:sz w:val="24"/>
          <w:szCs w:val="24"/>
        </w:rPr>
        <w:t>I</w:t>
      </w:r>
      <w:r w:rsidR="00F51BD8">
        <w:rPr>
          <w:rStyle w:val="Strong"/>
          <w:b/>
          <w:bCs w:val="0"/>
          <w:color w:val="auto"/>
          <w:sz w:val="24"/>
          <w:szCs w:val="24"/>
        </w:rPr>
        <w:t>V</w:t>
      </w:r>
      <w:r w:rsidRPr="002A0A87">
        <w:rPr>
          <w:rStyle w:val="Strong"/>
          <w:b/>
          <w:bCs w:val="0"/>
          <w:color w:val="auto"/>
          <w:sz w:val="24"/>
          <w:szCs w:val="24"/>
        </w:rPr>
        <w:t xml:space="preserve"> - OFERECIMENTO DE SUBSTITUTIVO, EMENDAS OU SUBEMENDAS</w:t>
      </w:r>
    </w:p>
    <w:p w:rsidR="00F74441" w:rsidRPr="002A0A87" w:rsidP="00F13148" w14:paraId="0344C6BF" w14:textId="47341228">
      <w:pPr>
        <w:pStyle w:val="NormalWeb"/>
        <w:spacing w:line="360" w:lineRule="auto"/>
        <w:ind w:firstLine="720"/>
        <w:jc w:val="both"/>
      </w:pPr>
      <w:r>
        <w:t xml:space="preserve">Após análise detalhada do projeto o relator </w:t>
      </w:r>
      <w:r w:rsidRPr="002C46E0">
        <w:rPr>
          <w:b/>
        </w:rPr>
        <w:t>não propõe emendas</w:t>
      </w:r>
      <w:r>
        <w:t xml:space="preserve"> ao texto do projeto. A decisão de não propor emendas baseia-se no entendimento de que o projeto, em sua forma cumpre com os seus objetivos.</w:t>
      </w:r>
      <w:r>
        <w:pict>
          <v:rect id="_x0000_i1030" style="width:0;height:0.75pt" o:hralign="center" o:hrstd="t" o:hrnoshade="t" o:hr="t" fillcolor="#404040" stroked="f"/>
        </w:pict>
      </w:r>
    </w:p>
    <w:p w:rsidR="00F74441" w:rsidRPr="002A0A87" w:rsidP="003D6D21" w14:paraId="0089363A" w14:textId="4A0DE6BF">
      <w:pPr>
        <w:pStyle w:val="Heading3"/>
        <w:spacing w:line="360" w:lineRule="auto"/>
        <w:rPr>
          <w:color w:val="auto"/>
          <w:sz w:val="24"/>
          <w:szCs w:val="24"/>
        </w:rPr>
      </w:pPr>
      <w:r w:rsidRPr="002A0A87">
        <w:rPr>
          <w:rStyle w:val="Strong"/>
          <w:b/>
          <w:bCs w:val="0"/>
          <w:color w:val="auto"/>
          <w:sz w:val="24"/>
          <w:szCs w:val="24"/>
        </w:rPr>
        <w:t>V - DECISÃO DA COMISSÃO</w:t>
      </w:r>
    </w:p>
    <w:p w:rsidR="00F74441" w:rsidRPr="002A0A87" w:rsidP="003D6D21" w14:paraId="2AF20253" w14:textId="18E36654">
      <w:pPr>
        <w:pStyle w:val="NormalWeb"/>
        <w:spacing w:line="360" w:lineRule="auto"/>
        <w:jc w:val="both"/>
      </w:pPr>
      <w:r w:rsidRPr="002A0A87">
        <w:tab/>
        <w:t>A Comissão de Justiça e Redação</w:t>
      </w:r>
      <w:r w:rsidR="001C72FF">
        <w:t xml:space="preserve"> e Comissão de Finanças e Orçamento</w:t>
      </w:r>
      <w:r w:rsidRPr="002A0A87">
        <w:t>, por unanimidade, </w:t>
      </w:r>
      <w:r w:rsidRPr="002A0A87">
        <w:rPr>
          <w:rStyle w:val="Strong"/>
        </w:rPr>
        <w:t>aprova</w:t>
      </w:r>
      <w:r w:rsidR="00B24D34">
        <w:rPr>
          <w:rStyle w:val="Strong"/>
        </w:rPr>
        <w:t>m</w:t>
      </w:r>
      <w:r w:rsidRPr="002A0A87">
        <w:t> o Pro</w:t>
      </w:r>
      <w:r w:rsidR="004E458F">
        <w:t>jeto de Lei</w:t>
      </w:r>
      <w:r w:rsidR="00B22DA8">
        <w:t xml:space="preserve"> n</w:t>
      </w:r>
      <w:r w:rsidR="00CF47B6">
        <w:t>º 4</w:t>
      </w:r>
      <w:r w:rsidR="001C72FF">
        <w:t>7 de 2026</w:t>
      </w:r>
      <w:r w:rsidRPr="002A0A87">
        <w:t>, </w:t>
      </w:r>
      <w:r w:rsidR="004B6AAD">
        <w:rPr>
          <w:rStyle w:val="Strong"/>
        </w:rPr>
        <w:t>se</w:t>
      </w:r>
      <w:r w:rsidRPr="002A0A87" w:rsidR="001A23DA">
        <w:rPr>
          <w:rStyle w:val="Strong"/>
        </w:rPr>
        <w:t>m</w:t>
      </w:r>
      <w:r w:rsidR="00AC6E02">
        <w:rPr>
          <w:rStyle w:val="Strong"/>
        </w:rPr>
        <w:t xml:space="preserve"> </w:t>
      </w:r>
      <w:r w:rsidRPr="002A0A87" w:rsidR="003D6D21">
        <w:rPr>
          <w:rStyle w:val="Strong"/>
        </w:rPr>
        <w:t>emendas</w:t>
      </w:r>
      <w:r w:rsidRPr="002A0A87">
        <w:t>, considerando-o </w:t>
      </w:r>
      <w:r w:rsidRPr="002A0A87" w:rsidR="00A67DE2">
        <w:rPr>
          <w:rStyle w:val="Strong"/>
        </w:rPr>
        <w:t>legal,</w:t>
      </w:r>
      <w:r w:rsidR="00B56BBF">
        <w:rPr>
          <w:rStyle w:val="Strong"/>
        </w:rPr>
        <w:t xml:space="preserve"> constitucional e conveniente.</w:t>
      </w:r>
    </w:p>
    <w:p w:rsidR="00F74441" w:rsidRPr="002A0A87" w:rsidP="003D6D21" w14:paraId="214FFDEB" w14:textId="77777777">
      <w:pPr>
        <w:spacing w:line="360" w:lineRule="auto"/>
        <w:rPr>
          <w:sz w:val="24"/>
          <w:szCs w:val="24"/>
        </w:rPr>
      </w:pPr>
      <w:r>
        <w:rPr>
          <w:sz w:val="24"/>
          <w:szCs w:val="24"/>
        </w:rPr>
        <w:pict>
          <v:rect id="_x0000_i1031" style="width:0;height:0.75pt" o:hralign="center" o:hrstd="t" o:hrnoshade="t" o:hr="t" fillcolor="#404040" stroked="f"/>
        </w:pict>
      </w:r>
    </w:p>
    <w:p w:rsidR="00F74441" w:rsidRPr="002A0A87" w:rsidP="003D6D21" w14:paraId="14CCE9EB" w14:textId="77777777">
      <w:pPr>
        <w:pStyle w:val="NormalWeb"/>
        <w:spacing w:line="360" w:lineRule="auto"/>
      </w:pPr>
      <w:r w:rsidRPr="002A0A87">
        <w:rPr>
          <w:rStyle w:val="Strong"/>
        </w:rPr>
        <w:t>Assinam os membros da Comissão de Justiça e Redação que votaram a favor:</w:t>
      </w:r>
    </w:p>
    <w:p w:rsidR="00346786" w:rsidRPr="002A0A87" w:rsidP="00346786" w14:paraId="53412763" w14:textId="77777777">
      <w:pPr>
        <w:pStyle w:val="NormalWeb"/>
        <w:numPr>
          <w:ilvl w:val="0"/>
          <w:numId w:val="13"/>
        </w:numPr>
        <w:spacing w:before="0" w:beforeAutospacing="0" w:line="360" w:lineRule="auto"/>
      </w:pPr>
      <w:r w:rsidRPr="002A0A87">
        <w:t>Vereador Wagner Ricardo Pereira (Presidente)</w:t>
      </w:r>
    </w:p>
    <w:p w:rsidR="00BB410F" w:rsidRPr="002A0A87" w:rsidP="00BB410F" w14:paraId="52AADB81" w14:textId="4BA6A892">
      <w:pPr>
        <w:pStyle w:val="NormalWeb"/>
        <w:numPr>
          <w:ilvl w:val="0"/>
          <w:numId w:val="13"/>
        </w:numPr>
        <w:spacing w:before="0" w:beforeAutospacing="0" w:line="360" w:lineRule="auto"/>
      </w:pPr>
      <w:r w:rsidRPr="002A0A87">
        <w:t xml:space="preserve">Vereador </w:t>
      </w:r>
      <w:r w:rsidR="00060746">
        <w:t>Wilians</w:t>
      </w:r>
      <w:r w:rsidR="00060746">
        <w:t xml:space="preserve"> Mendes de Oliveira</w:t>
      </w:r>
      <w:r w:rsidRPr="002A0A87" w:rsidR="00060746">
        <w:t xml:space="preserve"> </w:t>
      </w:r>
      <w:r w:rsidR="00C8480D">
        <w:t>(Vice-Presidente</w:t>
      </w:r>
      <w:r w:rsidRPr="002A0A87">
        <w:t>)</w:t>
      </w:r>
    </w:p>
    <w:p w:rsidR="00346786" w:rsidP="00346786" w14:paraId="25BDC939" w14:textId="242DBB65">
      <w:pPr>
        <w:pStyle w:val="NormalWeb"/>
        <w:numPr>
          <w:ilvl w:val="0"/>
          <w:numId w:val="13"/>
        </w:numPr>
        <w:spacing w:before="0" w:beforeAutospacing="0" w:line="360" w:lineRule="auto"/>
      </w:pPr>
      <w:r>
        <w:t>Vereador</w:t>
      </w:r>
      <w:r w:rsidR="00060746">
        <w:t xml:space="preserve"> Márcio Evandro Ribeiro</w:t>
      </w:r>
      <w:r>
        <w:t xml:space="preserve"> </w:t>
      </w:r>
      <w:r w:rsidRPr="002A0A87" w:rsidR="00746224">
        <w:t>(Membro</w:t>
      </w:r>
      <w:r w:rsidRPr="002A0A87">
        <w:t>)</w:t>
      </w:r>
    </w:p>
    <w:p w:rsidR="001C72FF" w:rsidRPr="002A0A87" w:rsidP="001C72FF" w14:paraId="412F4B8E" w14:textId="77777777">
      <w:pPr>
        <w:pStyle w:val="NormalWeb"/>
        <w:spacing w:line="360" w:lineRule="auto"/>
      </w:pPr>
      <w:r w:rsidRPr="002A0A87">
        <w:rPr>
          <w:rStyle w:val="Strong"/>
        </w:rPr>
        <w:t xml:space="preserve">Assinam os membros </w:t>
      </w:r>
      <w:r>
        <w:rPr>
          <w:rStyle w:val="Strong"/>
        </w:rPr>
        <w:t>da Comissão de Finanças e Orçamento</w:t>
      </w:r>
      <w:r w:rsidRPr="002A0A87">
        <w:rPr>
          <w:rStyle w:val="Strong"/>
        </w:rPr>
        <w:t xml:space="preserve"> que votaram a favor:</w:t>
      </w:r>
    </w:p>
    <w:p w:rsidR="001C72FF" w:rsidRPr="002A0A87" w:rsidP="001C72FF" w14:paraId="4E725EB3" w14:textId="77777777">
      <w:pPr>
        <w:pStyle w:val="NormalWeb"/>
        <w:numPr>
          <w:ilvl w:val="0"/>
          <w:numId w:val="13"/>
        </w:numPr>
        <w:spacing w:before="0" w:beforeAutospacing="0" w:line="360" w:lineRule="auto"/>
      </w:pPr>
      <w:r>
        <w:t xml:space="preserve">Vereadora Mara Cristina </w:t>
      </w:r>
      <w:r>
        <w:t>Choquetta</w:t>
      </w:r>
      <w:r w:rsidRPr="002A0A87">
        <w:t xml:space="preserve"> (Presidente)</w:t>
      </w:r>
    </w:p>
    <w:p w:rsidR="001C72FF" w:rsidRPr="002A0A87" w:rsidP="001C72FF" w14:paraId="14A7EA3F" w14:textId="77777777">
      <w:pPr>
        <w:pStyle w:val="NormalWeb"/>
        <w:numPr>
          <w:ilvl w:val="0"/>
          <w:numId w:val="13"/>
        </w:numPr>
        <w:spacing w:before="0" w:beforeAutospacing="0" w:line="360" w:lineRule="auto"/>
      </w:pPr>
      <w:r w:rsidRPr="002A0A87">
        <w:t xml:space="preserve">Vereador </w:t>
      </w:r>
      <w:r>
        <w:t xml:space="preserve">Márcio Dener </w:t>
      </w:r>
      <w:r>
        <w:t>Coran</w:t>
      </w:r>
      <w:r>
        <w:t xml:space="preserve"> </w:t>
      </w:r>
      <w:r w:rsidRPr="002A0A87">
        <w:t>(Vice-Presidente)</w:t>
      </w:r>
    </w:p>
    <w:p w:rsidR="001C72FF" w:rsidRPr="002A0A87" w:rsidP="001C72FF" w14:paraId="08D237F9" w14:textId="77777777">
      <w:pPr>
        <w:pStyle w:val="NormalWeb"/>
        <w:numPr>
          <w:ilvl w:val="0"/>
          <w:numId w:val="13"/>
        </w:numPr>
        <w:spacing w:before="0" w:beforeAutospacing="0" w:line="360" w:lineRule="auto"/>
      </w:pPr>
      <w:r w:rsidRPr="002A0A87">
        <w:t xml:space="preserve">Vereador </w:t>
      </w:r>
      <w:r>
        <w:t xml:space="preserve">Marcos Paulo </w:t>
      </w:r>
      <w:r>
        <w:t>Cegatti</w:t>
      </w:r>
      <w:r w:rsidRPr="002A0A87">
        <w:t xml:space="preserve"> (Membro)</w:t>
      </w:r>
    </w:p>
    <w:p w:rsidR="00F74441" w:rsidRPr="002A0A87" w:rsidP="00346786" w14:paraId="64715406" w14:textId="03BA1112">
      <w:pPr>
        <w:pStyle w:val="NormalWeb"/>
        <w:spacing w:before="0" w:beforeAutospacing="0" w:line="360" w:lineRule="auto"/>
      </w:pPr>
      <w:r>
        <w:pict>
          <v:rect id="_x0000_i1032" style="width:0;height:0.75pt" o:hrstd="t" o:hrnoshade="t" o:hr="t" fillcolor="#404040" stroked="f"/>
        </w:pict>
      </w:r>
    </w:p>
    <w:p w:rsidR="00F74441" w:rsidRPr="002A0A87" w:rsidP="003D6D21" w14:paraId="6AB168D8" w14:textId="0B261C08">
      <w:pPr>
        <w:pStyle w:val="NormalWeb"/>
        <w:spacing w:line="360" w:lineRule="auto"/>
        <w:jc w:val="center"/>
      </w:pPr>
      <w:r w:rsidRPr="002A0A87">
        <w:rPr>
          <w:rStyle w:val="Strong"/>
        </w:rPr>
        <w:t>SALA DAS SESSÕES</w:t>
      </w:r>
      <w:r w:rsidRPr="002A0A87" w:rsidR="00603CE4">
        <w:rPr>
          <w:rStyle w:val="Strong"/>
        </w:rPr>
        <w:t xml:space="preserve"> “VEREADOR SANT</w:t>
      </w:r>
      <w:r w:rsidR="002C2D65">
        <w:rPr>
          <w:rStyle w:val="Strong"/>
        </w:rPr>
        <w:t>O RÓTTOLI”, em 14</w:t>
      </w:r>
      <w:r w:rsidR="009F5C6E">
        <w:rPr>
          <w:rStyle w:val="Strong"/>
        </w:rPr>
        <w:t xml:space="preserve"> de maio</w:t>
      </w:r>
      <w:r w:rsidR="00954B52">
        <w:rPr>
          <w:rStyle w:val="Strong"/>
        </w:rPr>
        <w:t xml:space="preserve"> de 2026</w:t>
      </w:r>
      <w:r w:rsidRPr="002A0A87">
        <w:rPr>
          <w:rStyle w:val="Strong"/>
        </w:rPr>
        <w:t>.</w:t>
      </w:r>
    </w:p>
    <w:p w:rsidR="003D6D21" w:rsidRPr="002A0A87" w:rsidP="00F54B63" w14:paraId="5EF6A950" w14:textId="77777777">
      <w:pPr>
        <w:spacing w:before="240" w:line="360" w:lineRule="auto"/>
        <w:rPr>
          <w:bCs/>
          <w:i/>
          <w:sz w:val="24"/>
          <w:szCs w:val="24"/>
        </w:rPr>
      </w:pPr>
    </w:p>
    <w:p w:rsidR="00F74441" w:rsidRPr="002A0A87" w:rsidP="003D6D21" w14:paraId="7E34DE79" w14:textId="6EDE142E">
      <w:pPr>
        <w:spacing w:line="360" w:lineRule="auto"/>
        <w:jc w:val="center"/>
        <w:rPr>
          <w:b/>
          <w:sz w:val="24"/>
          <w:szCs w:val="24"/>
          <w:highlight w:val="white"/>
          <w:u w:val="single"/>
        </w:rPr>
      </w:pPr>
      <w:r w:rsidRPr="002A0A87">
        <w:rPr>
          <w:b/>
          <w:sz w:val="24"/>
          <w:szCs w:val="24"/>
          <w:highlight w:val="white"/>
          <w:u w:val="single"/>
        </w:rPr>
        <w:t>VEREADOR WAGNER RICARDO PEREIRA</w:t>
      </w:r>
    </w:p>
    <w:p w:rsidR="00F74441" w:rsidRPr="002A0A87" w:rsidP="003D6D21" w14:paraId="4D47B5CD" w14:textId="77777777">
      <w:pPr>
        <w:spacing w:line="360" w:lineRule="auto"/>
        <w:jc w:val="center"/>
        <w:rPr>
          <w:sz w:val="24"/>
          <w:szCs w:val="24"/>
        </w:rPr>
      </w:pPr>
      <w:r w:rsidRPr="002A0A87">
        <w:rPr>
          <w:sz w:val="24"/>
          <w:szCs w:val="24"/>
        </w:rPr>
        <w:t>Relator</w:t>
      </w:r>
    </w:p>
    <w:p w:rsidR="00F13148" w:rsidRPr="002A0A87" w:rsidP="00F54B63" w14:paraId="45DD80A7" w14:textId="77777777">
      <w:pPr>
        <w:spacing w:line="360" w:lineRule="auto"/>
        <w:rPr>
          <w:sz w:val="24"/>
          <w:szCs w:val="24"/>
        </w:rPr>
      </w:pPr>
    </w:p>
    <w:p w:rsidR="00F74441" w:rsidRPr="002A0A87" w:rsidP="003D6D21" w14:paraId="0B276300" w14:textId="77777777">
      <w:pPr>
        <w:spacing w:line="360" w:lineRule="auto"/>
        <w:rPr>
          <w:sz w:val="24"/>
          <w:szCs w:val="24"/>
        </w:rPr>
      </w:pPr>
      <w:r>
        <w:rPr>
          <w:sz w:val="24"/>
          <w:szCs w:val="24"/>
        </w:rPr>
        <w:pict>
          <v:rect id="_x0000_i1033" style="width:0;height:0.75pt" o:hralign="center" o:hrstd="t" o:hrnoshade="t" o:hr="t" fillcolor="#404040" stroked="f"/>
        </w:pict>
      </w:r>
    </w:p>
    <w:p w:rsidR="00F74441" w:rsidRPr="002A0A87" w:rsidP="003D6D21" w14:paraId="010DA84F" w14:textId="77777777">
      <w:pPr>
        <w:pStyle w:val="Heading3"/>
        <w:spacing w:line="360" w:lineRule="auto"/>
        <w:rPr>
          <w:color w:val="auto"/>
          <w:sz w:val="24"/>
          <w:szCs w:val="24"/>
        </w:rPr>
      </w:pPr>
      <w:r w:rsidRPr="002A0A87">
        <w:rPr>
          <w:rStyle w:val="Strong"/>
          <w:b/>
          <w:bCs w:val="0"/>
          <w:color w:val="auto"/>
          <w:sz w:val="24"/>
          <w:szCs w:val="24"/>
        </w:rPr>
        <w:t>REFERÊNCIAS:</w:t>
      </w:r>
    </w:p>
    <w:p w:rsidR="00C13BBA" w:rsidRPr="00C13BBA" w:rsidP="00C13BBA" w14:paraId="6993F5E6" w14:textId="46DEFEA8">
      <w:pPr>
        <w:pStyle w:val="NormalWeb"/>
        <w:numPr>
          <w:ilvl w:val="0"/>
          <w:numId w:val="14"/>
        </w:numPr>
        <w:spacing w:before="0" w:beforeAutospacing="0" w:line="360" w:lineRule="auto"/>
        <w:jc w:val="both"/>
        <w:rPr>
          <w:rStyle w:val="Strong"/>
          <w:b w:val="0"/>
          <w:bCs w:val="0"/>
        </w:rPr>
      </w:pPr>
      <w:r>
        <w:rPr>
          <w:rStyle w:val="Strong"/>
        </w:rPr>
        <w:t>Constituição Federal, Ar</w:t>
      </w:r>
      <w:r w:rsidR="006B79EB">
        <w:rPr>
          <w:rStyle w:val="Strong"/>
        </w:rPr>
        <w:t>t. 30, inciso I</w:t>
      </w:r>
      <w:r>
        <w:rPr>
          <w:rStyle w:val="Strong"/>
        </w:rPr>
        <w:t xml:space="preserve">: </w:t>
      </w:r>
      <w:r w:rsidR="006B79EB">
        <w:rPr>
          <w:rStyle w:val="Strong"/>
          <w:b w:val="0"/>
        </w:rPr>
        <w:t xml:space="preserve">dispõe sobre a competência dos municípios para legislar sobre assuntos de interesse local. </w:t>
      </w:r>
    </w:p>
    <w:p w:rsidR="00D95652" w:rsidP="00D95652" w14:paraId="59B2AE12" w14:textId="4D3C4706">
      <w:pPr>
        <w:pStyle w:val="NormalWeb"/>
        <w:numPr>
          <w:ilvl w:val="0"/>
          <w:numId w:val="14"/>
        </w:numPr>
        <w:spacing w:before="0" w:beforeAutospacing="0" w:line="360" w:lineRule="auto"/>
        <w:jc w:val="both"/>
        <w:rPr>
          <w:rStyle w:val="Strong"/>
          <w:b w:val="0"/>
          <w:bCs w:val="0"/>
        </w:rPr>
      </w:pPr>
      <w:r>
        <w:rPr>
          <w:rStyle w:val="Strong"/>
          <w:bCs w:val="0"/>
        </w:rPr>
        <w:t>Constituição Federal, A</w:t>
      </w:r>
      <w:r>
        <w:rPr>
          <w:rStyle w:val="Strong"/>
          <w:bCs w:val="0"/>
        </w:rPr>
        <w:t>rt.</w:t>
      </w:r>
      <w:r>
        <w:rPr>
          <w:rStyle w:val="Strong"/>
          <w:b w:val="0"/>
          <w:bCs w:val="0"/>
        </w:rPr>
        <w:t xml:space="preserve"> </w:t>
      </w:r>
      <w:r>
        <w:rPr>
          <w:rStyle w:val="Strong"/>
          <w:bCs w:val="0"/>
        </w:rPr>
        <w:t>37, inciso X</w:t>
      </w:r>
      <w:r w:rsidRPr="007E3D67">
        <w:rPr>
          <w:rStyle w:val="Strong"/>
          <w:bCs w:val="0"/>
        </w:rPr>
        <w:t>:</w:t>
      </w:r>
      <w:r>
        <w:rPr>
          <w:rStyle w:val="Strong"/>
          <w:b w:val="0"/>
          <w:bCs w:val="0"/>
        </w:rPr>
        <w:t xml:space="preserve"> </w:t>
      </w:r>
      <w:r>
        <w:rPr>
          <w:rStyle w:val="Strong"/>
          <w:b w:val="0"/>
          <w:bCs w:val="0"/>
        </w:rPr>
        <w:t xml:space="preserve">estabelece que as remunerações dos servidores públicos só podem ser fixadas ou alteradas por lei específica. </w:t>
      </w:r>
    </w:p>
    <w:p w:rsidR="00C13BBA" w:rsidP="00D95652" w14:paraId="2AAE7CDA" w14:textId="1FF6142F">
      <w:pPr>
        <w:pStyle w:val="NormalWeb"/>
        <w:numPr>
          <w:ilvl w:val="0"/>
          <w:numId w:val="14"/>
        </w:numPr>
        <w:spacing w:before="0" w:beforeAutospacing="0" w:line="360" w:lineRule="auto"/>
        <w:jc w:val="both"/>
        <w:rPr>
          <w:rStyle w:val="Strong"/>
          <w:b w:val="0"/>
          <w:bCs w:val="0"/>
        </w:rPr>
      </w:pPr>
      <w:r>
        <w:rPr>
          <w:rStyle w:val="Strong"/>
          <w:bCs w:val="0"/>
        </w:rPr>
        <w:t>Constituição Federal, Art.</w:t>
      </w:r>
      <w:r>
        <w:rPr>
          <w:rStyle w:val="Strong"/>
          <w:b w:val="0"/>
          <w:bCs w:val="0"/>
        </w:rPr>
        <w:t xml:space="preserve"> </w:t>
      </w:r>
      <w:r w:rsidRPr="00060746">
        <w:rPr>
          <w:rStyle w:val="Strong"/>
          <w:bCs w:val="0"/>
        </w:rPr>
        <w:t>169:</w:t>
      </w:r>
      <w:r>
        <w:rPr>
          <w:rStyle w:val="Strong"/>
          <w:b w:val="0"/>
          <w:bCs w:val="0"/>
        </w:rPr>
        <w:t xml:space="preserve"> estabelece limites para as despesas com pessoal ativo, inativo e pensionistas</w:t>
      </w:r>
      <w:r w:rsidR="00060746">
        <w:rPr>
          <w:rStyle w:val="Strong"/>
          <w:b w:val="0"/>
          <w:bCs w:val="0"/>
        </w:rPr>
        <w:t xml:space="preserve"> e determina que aumentos de remuneração ou contratações só podem ocorrer com dotação orçamentária prévia e autorização na Lei de Diretrizes Orçamentárias. </w:t>
      </w:r>
    </w:p>
    <w:p w:rsidR="005F4C80" w:rsidP="001D486B" w14:paraId="751449BC" w14:textId="73DC5B8E">
      <w:pPr>
        <w:pStyle w:val="NormalWeb"/>
        <w:numPr>
          <w:ilvl w:val="0"/>
          <w:numId w:val="14"/>
        </w:numPr>
        <w:spacing w:before="0" w:beforeAutospacing="0" w:line="360" w:lineRule="auto"/>
        <w:jc w:val="both"/>
        <w:rPr>
          <w:rStyle w:val="Strong"/>
          <w:b w:val="0"/>
          <w:bCs w:val="0"/>
        </w:rPr>
      </w:pPr>
      <w:r w:rsidRPr="00C13BBA">
        <w:rPr>
          <w:rStyle w:val="Strong"/>
          <w:bCs w:val="0"/>
        </w:rPr>
        <w:t>Lei Complementar n° 101/2000</w:t>
      </w:r>
      <w:r w:rsidRPr="00C13BBA">
        <w:rPr>
          <w:rStyle w:val="Strong"/>
          <w:bCs w:val="0"/>
        </w:rPr>
        <w:t xml:space="preserve"> (Lei de Responsabilidade Fiscal), </w:t>
      </w:r>
      <w:r w:rsidRPr="00C13BBA" w:rsidR="00C13BBA">
        <w:rPr>
          <w:rStyle w:val="Strong"/>
          <w:bCs w:val="0"/>
        </w:rPr>
        <w:t xml:space="preserve">Art. 15, </w:t>
      </w:r>
      <w:r w:rsidRPr="00C13BBA">
        <w:rPr>
          <w:rStyle w:val="Strong"/>
          <w:bCs w:val="0"/>
        </w:rPr>
        <w:t xml:space="preserve">Art. 16 e Art. 17: </w:t>
      </w:r>
      <w:r w:rsidR="00C13BBA">
        <w:rPr>
          <w:rStyle w:val="Strong"/>
          <w:b w:val="0"/>
          <w:bCs w:val="0"/>
        </w:rPr>
        <w:t xml:space="preserve">disciplinam o aumento de despesas com pessoal, exigindo estimativa de impacto orçamentário-financeiro, adequação orçamentária e respeito aos limites legais de despesa. </w:t>
      </w:r>
    </w:p>
    <w:p w:rsidR="006B79EB" w:rsidP="001D486B" w14:paraId="67B13F55" w14:textId="497B1BC7">
      <w:pPr>
        <w:pStyle w:val="NormalWeb"/>
        <w:numPr>
          <w:ilvl w:val="0"/>
          <w:numId w:val="14"/>
        </w:numPr>
        <w:spacing w:before="0" w:beforeAutospacing="0" w:line="360" w:lineRule="auto"/>
        <w:jc w:val="both"/>
      </w:pPr>
      <w:r w:rsidRPr="006B79EB">
        <w:rPr>
          <w:b/>
        </w:rPr>
        <w:t>Resolução nº 276, de 09 de novembro de 2010 – Regimento Interno da Câmara Municipal de Mogi Mirim</w:t>
      </w:r>
      <w:r>
        <w:t>, especialmente artigo 18, inciso I, alínea “i”, e inciso IV, alínea “g”, que dispõe sobre as atribuições da Mesa Diretora.</w:t>
      </w:r>
    </w:p>
    <w:p w:rsidR="001641EC" w:rsidP="001D486B" w14:paraId="12E57A89" w14:textId="1D7EC65F">
      <w:pPr>
        <w:pStyle w:val="NormalWeb"/>
        <w:numPr>
          <w:ilvl w:val="0"/>
          <w:numId w:val="14"/>
        </w:numPr>
        <w:spacing w:before="0" w:beforeAutospacing="0" w:line="360" w:lineRule="auto"/>
        <w:jc w:val="both"/>
      </w:pPr>
      <w:r w:rsidRPr="001641EC">
        <w:rPr>
          <w:b/>
        </w:rPr>
        <w:t>Lei Municipal nº 5.387/2013:</w:t>
      </w:r>
      <w:r>
        <w:t xml:space="preserve"> institui o vale-alimentação aos servidores da Câmara Municipal de Mogi Mirim.</w:t>
      </w:r>
    </w:p>
    <w:p w:rsidR="001641EC" w:rsidP="001D486B" w14:paraId="238CEBA0" w14:textId="117E61D2">
      <w:pPr>
        <w:pStyle w:val="NormalWeb"/>
        <w:numPr>
          <w:ilvl w:val="0"/>
          <w:numId w:val="14"/>
        </w:numPr>
        <w:spacing w:before="0" w:beforeAutospacing="0" w:line="360" w:lineRule="auto"/>
        <w:jc w:val="both"/>
      </w:pPr>
      <w:r w:rsidRPr="001641EC">
        <w:rPr>
          <w:b/>
        </w:rPr>
        <w:t>Lei Municipal nº 5.573/2014:</w:t>
      </w:r>
      <w:r>
        <w:t xml:space="preserve"> institui o vale-refeição aos servidores da Câmara Municipal de Mogi Mirim.</w:t>
      </w:r>
    </w:p>
    <w:p w:rsidR="001641EC" w:rsidRPr="00C13BBA" w:rsidP="001D486B" w14:paraId="387B7AE6" w14:textId="5648DA89">
      <w:pPr>
        <w:pStyle w:val="NormalWeb"/>
        <w:numPr>
          <w:ilvl w:val="0"/>
          <w:numId w:val="14"/>
        </w:numPr>
        <w:spacing w:before="0" w:beforeAutospacing="0" w:line="360" w:lineRule="auto"/>
        <w:jc w:val="both"/>
        <w:rPr>
          <w:rStyle w:val="Strong"/>
          <w:b w:val="0"/>
          <w:bCs w:val="0"/>
        </w:rPr>
      </w:pPr>
      <w:r w:rsidRPr="001641EC">
        <w:rPr>
          <w:b/>
        </w:rPr>
        <w:t>Ofício nº 14/2026 – Contabilidade</w:t>
      </w:r>
      <w:r>
        <w:t>, que apresenta a projeção dos gastos e o impacto financeiro decorrente da atualização dos benefícios alimentares dos servidores da Câmara Municipal.</w:t>
      </w:r>
    </w:p>
    <w:p w:rsidR="004B6AAD" w:rsidP="00963121" w14:paraId="3A05E793" w14:textId="7A745FA7">
      <w:pPr>
        <w:pStyle w:val="NormalWeb"/>
        <w:spacing w:before="0" w:beforeAutospacing="0" w:line="360" w:lineRule="auto"/>
        <w:ind w:left="720"/>
        <w:jc w:val="both"/>
        <w:rPr>
          <w:rStyle w:val="Strong"/>
          <w:b w:val="0"/>
          <w:bCs w:val="0"/>
        </w:rPr>
      </w:pPr>
    </w:p>
    <w:p w:rsidR="00392CD4" w:rsidP="00963121" w14:paraId="5D867351" w14:textId="0A02C8C4">
      <w:pPr>
        <w:pStyle w:val="NormalWeb"/>
        <w:spacing w:before="0" w:beforeAutospacing="0" w:line="360" w:lineRule="auto"/>
        <w:ind w:left="720"/>
        <w:jc w:val="both"/>
        <w:rPr>
          <w:rStyle w:val="Strong"/>
          <w:b w:val="0"/>
          <w:bCs w:val="0"/>
        </w:rPr>
      </w:pPr>
    </w:p>
    <w:p w:rsidR="00392CD4" w:rsidP="00963121" w14:paraId="27DCAE9E" w14:textId="5823ABB4">
      <w:pPr>
        <w:pStyle w:val="NormalWeb"/>
        <w:spacing w:before="0" w:beforeAutospacing="0" w:line="360" w:lineRule="auto"/>
        <w:ind w:left="720"/>
        <w:jc w:val="both"/>
        <w:rPr>
          <w:rStyle w:val="Strong"/>
          <w:b w:val="0"/>
          <w:bCs w:val="0"/>
        </w:rPr>
      </w:pPr>
    </w:p>
    <w:p w:rsidR="00392CD4" w:rsidP="00963121" w14:paraId="6B7EFD18" w14:textId="01C0605B">
      <w:pPr>
        <w:pStyle w:val="NormalWeb"/>
        <w:spacing w:before="0" w:beforeAutospacing="0" w:line="360" w:lineRule="auto"/>
        <w:ind w:left="720"/>
        <w:jc w:val="both"/>
        <w:rPr>
          <w:rStyle w:val="Strong"/>
          <w:b w:val="0"/>
          <w:bCs w:val="0"/>
        </w:rPr>
      </w:pPr>
    </w:p>
    <w:p w:rsidR="00392CD4" w:rsidP="00963121" w14:paraId="4C3D466B" w14:textId="65C35C06">
      <w:pPr>
        <w:pStyle w:val="NormalWeb"/>
        <w:spacing w:before="0" w:beforeAutospacing="0" w:line="360" w:lineRule="auto"/>
        <w:ind w:left="720"/>
        <w:jc w:val="both"/>
        <w:rPr>
          <w:rStyle w:val="Strong"/>
          <w:b w:val="0"/>
          <w:bCs w:val="0"/>
        </w:rPr>
      </w:pPr>
    </w:p>
    <w:p w:rsidR="00392CD4" w:rsidP="00963121" w14:paraId="12AE4B44" w14:textId="77777777">
      <w:pPr>
        <w:pStyle w:val="NormalWeb"/>
        <w:spacing w:before="0" w:beforeAutospacing="0" w:line="360" w:lineRule="auto"/>
        <w:ind w:left="720"/>
        <w:jc w:val="both"/>
        <w:rPr>
          <w:rStyle w:val="Strong"/>
          <w:b w:val="0"/>
          <w:bCs w:val="0"/>
        </w:rPr>
      </w:pPr>
    </w:p>
    <w:p w:rsidR="00224CAA" w:rsidP="00963121" w14:paraId="09981023" w14:textId="77777777">
      <w:pPr>
        <w:pStyle w:val="NormalWeb"/>
        <w:spacing w:before="0" w:beforeAutospacing="0" w:line="360" w:lineRule="auto"/>
        <w:ind w:left="720"/>
        <w:jc w:val="both"/>
        <w:rPr>
          <w:rStyle w:val="Strong"/>
          <w:b w:val="0"/>
          <w:bCs w:val="0"/>
        </w:rPr>
      </w:pPr>
    </w:p>
    <w:p w:rsidR="00B65347" w:rsidRPr="002A0A87" w:rsidP="00B65347" w14:paraId="365516DA" w14:textId="125A13AB">
      <w:pPr>
        <w:pStyle w:val="NormalWeb"/>
        <w:spacing w:before="0" w:beforeAutospacing="0" w:line="360" w:lineRule="auto"/>
        <w:jc w:val="both"/>
      </w:pPr>
    </w:p>
    <w:p w:rsidR="00F13148" w:rsidRPr="002A0A87" w:rsidP="00F13148" w14:paraId="2BB5648D" w14:textId="57DEB164">
      <w:pPr>
        <w:spacing w:line="380" w:lineRule="atLeast"/>
        <w:jc w:val="both"/>
        <w:rPr>
          <w:rFonts w:ascii="Palatino Linotype" w:hAnsi="Palatino Linotype" w:cs="Arial"/>
          <w:b/>
          <w:sz w:val="24"/>
          <w:szCs w:val="24"/>
        </w:rPr>
      </w:pPr>
      <w:r w:rsidRPr="002A0A87">
        <w:rPr>
          <w:rFonts w:ascii="Palatino Linotype" w:hAnsi="Palatino Linotype" w:cs="Arial"/>
          <w:b/>
          <w:sz w:val="24"/>
          <w:szCs w:val="24"/>
        </w:rPr>
        <w:t>PARECER</w:t>
      </w:r>
      <w:r w:rsidR="00060746">
        <w:rPr>
          <w:rFonts w:ascii="Palatino Linotype" w:hAnsi="Palatino Linotype" w:cs="Arial"/>
          <w:b/>
          <w:sz w:val="24"/>
          <w:szCs w:val="24"/>
        </w:rPr>
        <w:t xml:space="preserve"> CONJUNTO</w:t>
      </w:r>
      <w:r w:rsidRPr="002A0A87">
        <w:rPr>
          <w:rFonts w:ascii="Palatino Linotype" w:hAnsi="Palatino Linotype" w:cs="Arial"/>
          <w:b/>
          <w:sz w:val="24"/>
          <w:szCs w:val="24"/>
        </w:rPr>
        <w:t xml:space="preserve"> DA COMISSÃO DE JUSTIÇA</w:t>
      </w:r>
      <w:r w:rsidR="00060746">
        <w:rPr>
          <w:rFonts w:ascii="Palatino Linotype" w:hAnsi="Palatino Linotype" w:cs="Arial"/>
          <w:b/>
          <w:sz w:val="24"/>
          <w:szCs w:val="24"/>
        </w:rPr>
        <w:t xml:space="preserve"> </w:t>
      </w:r>
      <w:r w:rsidRPr="002A0A87" w:rsidR="00060746">
        <w:rPr>
          <w:rFonts w:ascii="Palatino Linotype" w:hAnsi="Palatino Linotype" w:cs="Arial"/>
          <w:b/>
          <w:sz w:val="24"/>
          <w:szCs w:val="24"/>
        </w:rPr>
        <w:t>E REDAÇÃO</w:t>
      </w:r>
      <w:r w:rsidR="001C72FF">
        <w:rPr>
          <w:rFonts w:ascii="Palatino Linotype" w:hAnsi="Palatino Linotype" w:cs="Arial"/>
          <w:b/>
          <w:sz w:val="24"/>
          <w:szCs w:val="24"/>
        </w:rPr>
        <w:t xml:space="preserve"> E COMISSÃO DE FINANÇAS E ORÇAMENTO</w:t>
      </w:r>
      <w:r w:rsidRPr="002A0A87">
        <w:rPr>
          <w:rFonts w:ascii="Palatino Linotype" w:hAnsi="Palatino Linotype" w:cs="Arial"/>
          <w:b/>
          <w:sz w:val="24"/>
          <w:szCs w:val="24"/>
        </w:rPr>
        <w:t xml:space="preserve"> </w:t>
      </w:r>
      <w:r w:rsidR="009F5C6E">
        <w:rPr>
          <w:rFonts w:ascii="Palatino Linotype" w:hAnsi="Palatino Linotype" w:cs="Arial"/>
          <w:b/>
          <w:sz w:val="24"/>
          <w:szCs w:val="24"/>
        </w:rPr>
        <w:t>AO PROJETO DE LEI N° 4</w:t>
      </w:r>
      <w:r w:rsidR="00954B52">
        <w:rPr>
          <w:rFonts w:ascii="Palatino Linotype" w:hAnsi="Palatino Linotype" w:cs="Arial"/>
          <w:b/>
          <w:sz w:val="24"/>
          <w:szCs w:val="24"/>
        </w:rPr>
        <w:t>7 DE 2026</w:t>
      </w:r>
      <w:r w:rsidRPr="002A0A87">
        <w:rPr>
          <w:rFonts w:ascii="Palatino Linotype" w:hAnsi="Palatino Linotype" w:cs="Arial"/>
          <w:b/>
          <w:sz w:val="24"/>
          <w:szCs w:val="24"/>
        </w:rPr>
        <w:t xml:space="preserve"> DE AUTORIA </w:t>
      </w:r>
      <w:r w:rsidR="00963121">
        <w:rPr>
          <w:rFonts w:ascii="Palatino Linotype" w:hAnsi="Palatino Linotype" w:cs="Arial"/>
          <w:b/>
          <w:sz w:val="24"/>
          <w:szCs w:val="24"/>
        </w:rPr>
        <w:t>DA MESA DIRETORA.</w:t>
      </w:r>
    </w:p>
    <w:p w:rsidR="00F13148" w:rsidRPr="002A0A87" w:rsidP="00F13148" w14:paraId="68DF435F" w14:textId="77777777">
      <w:pPr>
        <w:spacing w:line="380" w:lineRule="atLeast"/>
        <w:jc w:val="both"/>
        <w:rPr>
          <w:rFonts w:ascii="Palatino Linotype" w:hAnsi="Palatino Linotype" w:cs="Arial"/>
          <w:sz w:val="24"/>
          <w:szCs w:val="24"/>
        </w:rPr>
      </w:pPr>
    </w:p>
    <w:p w:rsidR="00F13148" w:rsidP="005B0409" w14:paraId="3FFD6748" w14:textId="7EF18524">
      <w:pPr>
        <w:spacing w:line="380" w:lineRule="atLeast"/>
        <w:jc w:val="both"/>
        <w:rPr>
          <w:rFonts w:ascii="Palatino Linotype" w:hAnsi="Palatino Linotype"/>
          <w:sz w:val="24"/>
          <w:szCs w:val="24"/>
        </w:rPr>
      </w:pPr>
      <w:r w:rsidRPr="005B0409">
        <w:rPr>
          <w:rFonts w:ascii="Palatino Linotype" w:hAnsi="Palatino Linotype"/>
          <w:sz w:val="24"/>
          <w:szCs w:val="24"/>
        </w:rPr>
        <w:t>Seguindo o Voto exarado pelo Relator e conforme determina o artigo 35 e 37, combinado com artigo 45, da Resolução n.º 276 de 09 de novembro de 2.010, a Comissão de Justiça e Redação e Comissão de Finanças e Orçamento formalizam o presente PARECER FAVORÁVEL a</w:t>
      </w:r>
      <w:r w:rsidR="00B24D34">
        <w:rPr>
          <w:rFonts w:ascii="Palatino Linotype" w:hAnsi="Palatino Linotype"/>
          <w:sz w:val="24"/>
          <w:szCs w:val="24"/>
        </w:rPr>
        <w:t>o Projeto de Lei n° 4</w:t>
      </w:r>
      <w:r w:rsidRPr="005B0409">
        <w:rPr>
          <w:rFonts w:ascii="Palatino Linotype" w:hAnsi="Palatino Linotype"/>
          <w:sz w:val="24"/>
          <w:szCs w:val="24"/>
        </w:rPr>
        <w:t>7 de 2026.</w:t>
      </w:r>
    </w:p>
    <w:p w:rsidR="005B0409" w:rsidRPr="005B0409" w:rsidP="005B0409" w14:paraId="22F4C74C" w14:textId="77777777">
      <w:pPr>
        <w:spacing w:line="380" w:lineRule="atLeast"/>
        <w:jc w:val="both"/>
        <w:rPr>
          <w:rFonts w:ascii="Palatino Linotype" w:hAnsi="Palatino Linotype" w:cs="Arial"/>
          <w:bCs/>
          <w:sz w:val="24"/>
          <w:szCs w:val="24"/>
        </w:rPr>
      </w:pPr>
    </w:p>
    <w:p w:rsidR="00F13148" w:rsidRPr="005B0409" w:rsidP="005B0409" w14:paraId="77700D32" w14:textId="77777777">
      <w:pPr>
        <w:spacing w:line="380" w:lineRule="atLeast"/>
        <w:jc w:val="both"/>
        <w:rPr>
          <w:rFonts w:ascii="Palatino Linotype" w:hAnsi="Palatino Linotype" w:cs="Arial"/>
          <w:bCs/>
          <w:sz w:val="24"/>
          <w:szCs w:val="24"/>
        </w:rPr>
      </w:pPr>
    </w:p>
    <w:p w:rsidR="00F518B8" w:rsidRPr="002A0A87" w:rsidP="00996888" w14:paraId="2D71AED4" w14:textId="2C0EE180">
      <w:pPr>
        <w:spacing w:line="380" w:lineRule="atLeast"/>
        <w:jc w:val="center"/>
        <w:rPr>
          <w:rFonts w:ascii="Palatino Linotype" w:hAnsi="Palatino Linotype" w:cs="Arial"/>
          <w:bCs/>
          <w:sz w:val="24"/>
          <w:szCs w:val="24"/>
        </w:rPr>
      </w:pPr>
      <w:r w:rsidRPr="002A0A87">
        <w:rPr>
          <w:rFonts w:ascii="Palatino Linotype" w:hAnsi="Palatino Linotype" w:cs="Arial"/>
          <w:bCs/>
          <w:sz w:val="24"/>
          <w:szCs w:val="24"/>
        </w:rPr>
        <w:t xml:space="preserve">Sala das </w:t>
      </w:r>
      <w:r w:rsidR="002C2D65">
        <w:rPr>
          <w:rFonts w:ascii="Palatino Linotype" w:hAnsi="Palatino Linotype" w:cs="Arial"/>
          <w:bCs/>
          <w:sz w:val="24"/>
          <w:szCs w:val="24"/>
        </w:rPr>
        <w:t>Comissões, 14</w:t>
      </w:r>
      <w:bookmarkStart w:id="0" w:name="_GoBack"/>
      <w:bookmarkEnd w:id="0"/>
      <w:r w:rsidR="00DC6027">
        <w:rPr>
          <w:rFonts w:ascii="Palatino Linotype" w:hAnsi="Palatino Linotype" w:cs="Arial"/>
          <w:bCs/>
          <w:sz w:val="24"/>
          <w:szCs w:val="24"/>
        </w:rPr>
        <w:t xml:space="preserve"> de </w:t>
      </w:r>
      <w:r w:rsidR="009F5C6E">
        <w:rPr>
          <w:rFonts w:ascii="Palatino Linotype" w:hAnsi="Palatino Linotype" w:cs="Arial"/>
          <w:bCs/>
          <w:sz w:val="24"/>
          <w:szCs w:val="24"/>
        </w:rPr>
        <w:t>maio</w:t>
      </w:r>
      <w:r w:rsidR="00954B52">
        <w:rPr>
          <w:rFonts w:ascii="Palatino Linotype" w:hAnsi="Palatino Linotype" w:cs="Arial"/>
          <w:bCs/>
          <w:sz w:val="24"/>
          <w:szCs w:val="24"/>
        </w:rPr>
        <w:t xml:space="preserve"> de 2026</w:t>
      </w:r>
      <w:r w:rsidRPr="002A0A87">
        <w:rPr>
          <w:rFonts w:ascii="Palatino Linotype" w:hAnsi="Palatino Linotype" w:cs="Arial"/>
          <w:bCs/>
          <w:sz w:val="24"/>
          <w:szCs w:val="24"/>
        </w:rPr>
        <w:t>.</w:t>
      </w:r>
    </w:p>
    <w:p w:rsidR="00F518B8" w:rsidRPr="002A0A87" w:rsidP="00F13148" w14:paraId="7D4CB6BB" w14:textId="77777777">
      <w:pPr>
        <w:spacing w:line="380" w:lineRule="atLeast"/>
        <w:jc w:val="center"/>
        <w:rPr>
          <w:rFonts w:ascii="Palatino Linotype" w:hAnsi="Palatino Linotype" w:cs="Arial"/>
          <w:bCs/>
          <w:sz w:val="24"/>
          <w:szCs w:val="24"/>
        </w:rPr>
      </w:pPr>
    </w:p>
    <w:p w:rsidR="00F518B8" w:rsidRPr="002A0A87" w:rsidP="00F13148" w14:paraId="030B1B39" w14:textId="77777777">
      <w:pPr>
        <w:spacing w:line="380" w:lineRule="atLeast"/>
        <w:jc w:val="center"/>
        <w:rPr>
          <w:rFonts w:ascii="Palatino Linotype" w:hAnsi="Palatino Linotype" w:cs="Arial"/>
          <w:bCs/>
          <w:sz w:val="24"/>
          <w:szCs w:val="24"/>
        </w:rPr>
      </w:pPr>
    </w:p>
    <w:p w:rsidR="00F13148" w:rsidRPr="002A0A87" w:rsidP="00F13148" w14:paraId="687175BA" w14:textId="77777777">
      <w:pPr>
        <w:spacing w:line="380" w:lineRule="atLeast"/>
        <w:jc w:val="center"/>
        <w:rPr>
          <w:rFonts w:ascii="Palatino Linotype" w:hAnsi="Palatino Linotype" w:cs="Arial"/>
          <w:bCs/>
          <w:sz w:val="24"/>
          <w:szCs w:val="24"/>
        </w:rPr>
      </w:pPr>
    </w:p>
    <w:p w:rsidR="00F13148" w:rsidRPr="002A0A87" w:rsidP="00F13148" w14:paraId="63BE5A2D" w14:textId="77777777">
      <w:pPr>
        <w:jc w:val="center"/>
        <w:rPr>
          <w:rFonts w:ascii="Palatino Linotype" w:hAnsi="Palatino Linotype" w:cs="Arial"/>
          <w:b/>
          <w:sz w:val="24"/>
          <w:szCs w:val="24"/>
          <w:u w:val="single"/>
        </w:rPr>
      </w:pPr>
      <w:r w:rsidRPr="002A0A87">
        <w:rPr>
          <w:rFonts w:ascii="Palatino Linotype" w:hAnsi="Palatino Linotype" w:cs="Arial"/>
          <w:b/>
          <w:sz w:val="24"/>
          <w:szCs w:val="24"/>
          <w:u w:val="single"/>
        </w:rPr>
        <w:t>COMISSÃO DE JUSTIÇA E REDAÇÃO</w:t>
      </w:r>
    </w:p>
    <w:p w:rsidR="00F13148" w:rsidRPr="002A0A87" w:rsidP="00F13148" w14:paraId="189668FC" w14:textId="77777777">
      <w:pPr>
        <w:jc w:val="center"/>
        <w:rPr>
          <w:rFonts w:ascii="Palatino Linotype" w:hAnsi="Palatino Linotype" w:cs="Arial"/>
          <w:b/>
          <w:sz w:val="24"/>
          <w:szCs w:val="24"/>
          <w:u w:val="single"/>
        </w:rPr>
      </w:pPr>
    </w:p>
    <w:p w:rsidR="00F13148" w:rsidP="00F13148" w14:paraId="5D464FF4" w14:textId="0DA42189">
      <w:pPr>
        <w:jc w:val="center"/>
        <w:rPr>
          <w:rFonts w:ascii="Palatino Linotype" w:hAnsi="Palatino Linotype" w:cs="Arial"/>
          <w:b/>
          <w:sz w:val="24"/>
          <w:szCs w:val="24"/>
          <w:u w:val="single"/>
        </w:rPr>
      </w:pPr>
    </w:p>
    <w:p w:rsidR="00060746" w:rsidRPr="002A0A87" w:rsidP="00F13148" w14:paraId="6CA742CF" w14:textId="77777777">
      <w:pPr>
        <w:jc w:val="center"/>
        <w:rPr>
          <w:rFonts w:ascii="Palatino Linotype" w:hAnsi="Palatino Linotype" w:cs="Arial"/>
          <w:b/>
          <w:sz w:val="24"/>
          <w:szCs w:val="24"/>
          <w:u w:val="single"/>
        </w:rPr>
      </w:pPr>
    </w:p>
    <w:p w:rsidR="00F13148" w:rsidRPr="002A0A87" w:rsidP="00F13148" w14:paraId="6C26F1DF"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VEREADOR WAGNER RICARDO PEREIRA</w:t>
      </w:r>
    </w:p>
    <w:p w:rsidR="00F13148" w:rsidRPr="002A0A87" w:rsidP="00F13148" w14:paraId="2D19F49E"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Presidente/Relator</w:t>
      </w:r>
    </w:p>
    <w:p w:rsidR="00603CE4" w:rsidP="00996888" w14:paraId="7CC0B5F4" w14:textId="67BAF6B0">
      <w:pPr>
        <w:spacing w:line="380" w:lineRule="atLeast"/>
        <w:rPr>
          <w:rFonts w:ascii="Palatino Linotype" w:hAnsi="Palatino Linotype" w:cs="Arial"/>
          <w:b/>
          <w:sz w:val="24"/>
          <w:szCs w:val="24"/>
          <w:u w:val="single"/>
        </w:rPr>
      </w:pPr>
    </w:p>
    <w:p w:rsidR="00060746" w:rsidRPr="002A0A87" w:rsidP="00996888" w14:paraId="0A96BB25" w14:textId="77777777">
      <w:pPr>
        <w:spacing w:line="380" w:lineRule="atLeast"/>
        <w:rPr>
          <w:rFonts w:ascii="Palatino Linotype" w:hAnsi="Palatino Linotype" w:cs="Arial"/>
          <w:b/>
          <w:sz w:val="24"/>
          <w:szCs w:val="24"/>
          <w:u w:val="single"/>
        </w:rPr>
      </w:pPr>
    </w:p>
    <w:p w:rsidR="00060746" w:rsidRPr="002A0A87" w:rsidP="00060746" w14:paraId="3DF41106"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WILIANS MENDES DE OLIVEIRA</w:t>
      </w:r>
    </w:p>
    <w:p w:rsidR="00B65347" w:rsidRPr="002A0A87" w:rsidP="00B65347" w14:paraId="3B23B211" w14:textId="097AD488">
      <w:pPr>
        <w:spacing w:line="380" w:lineRule="atLeast"/>
        <w:jc w:val="center"/>
        <w:rPr>
          <w:rFonts w:ascii="Palatino Linotype" w:hAnsi="Palatino Linotype" w:cs="Arial"/>
          <w:b/>
          <w:sz w:val="24"/>
          <w:szCs w:val="24"/>
          <w:u w:val="single"/>
        </w:rPr>
      </w:pPr>
    </w:p>
    <w:p w:rsidR="00B65347" w:rsidRPr="002A0A87" w:rsidP="00B65347" w14:paraId="63731795" w14:textId="4789E39B">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p>
    <w:p w:rsidR="00603CE4" w:rsidRPr="002A0A87" w:rsidP="00B65347" w14:paraId="7B2C04C6" w14:textId="1A393666">
      <w:pPr>
        <w:spacing w:before="240" w:line="360" w:lineRule="auto"/>
        <w:jc w:val="center"/>
        <w:rPr>
          <w:rFonts w:ascii="Palatino Linotype" w:hAnsi="Palatino Linotype" w:cs="Arial"/>
          <w:b/>
          <w:sz w:val="24"/>
          <w:szCs w:val="24"/>
          <w:u w:val="single"/>
        </w:rPr>
      </w:pPr>
    </w:p>
    <w:p w:rsidR="00F13148" w:rsidRPr="002A0A87" w:rsidP="00F13148" w14:paraId="2D93895A" w14:textId="0031B2C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 xml:space="preserve">VEREADOR </w:t>
      </w:r>
      <w:r w:rsidR="00060746">
        <w:rPr>
          <w:rFonts w:ascii="Palatino Linotype" w:hAnsi="Palatino Linotype" w:cs="Arial"/>
          <w:b/>
          <w:sz w:val="24"/>
          <w:szCs w:val="24"/>
          <w:u w:val="single"/>
        </w:rPr>
        <w:t>MÁRCIO EVANDRO RIBEIRO</w:t>
      </w:r>
    </w:p>
    <w:p w:rsidR="00F13148" w:rsidRPr="002A0A87" w:rsidP="00F13148" w14:paraId="10091CF6"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F13148" w:rsidP="00996888" w14:paraId="684EA24D" w14:textId="57D31688">
      <w:pPr>
        <w:pStyle w:val="NormalWeb"/>
        <w:spacing w:before="0" w:beforeAutospacing="0" w:line="360" w:lineRule="auto"/>
        <w:jc w:val="both"/>
      </w:pPr>
    </w:p>
    <w:p w:rsidR="00954B52" w:rsidRPr="002A0A87" w:rsidP="00954B52" w14:paraId="1C7A4553" w14:textId="77777777">
      <w:pPr>
        <w:jc w:val="center"/>
        <w:rPr>
          <w:rFonts w:ascii="Palatino Linotype" w:hAnsi="Palatino Linotype" w:cs="Arial"/>
          <w:b/>
          <w:sz w:val="24"/>
          <w:szCs w:val="24"/>
          <w:u w:val="single"/>
        </w:rPr>
      </w:pPr>
      <w:r>
        <w:rPr>
          <w:rFonts w:ascii="Palatino Linotype" w:hAnsi="Palatino Linotype" w:cs="Arial"/>
          <w:b/>
          <w:sz w:val="24"/>
          <w:szCs w:val="24"/>
          <w:u w:val="single"/>
        </w:rPr>
        <w:t>COMISSÃO DE FINANÇAS E ORÇAMENTO</w:t>
      </w:r>
    </w:p>
    <w:p w:rsidR="00954B52" w:rsidRPr="002A0A87" w:rsidP="00954B52" w14:paraId="19C254ED" w14:textId="77777777">
      <w:pPr>
        <w:rPr>
          <w:rFonts w:ascii="Palatino Linotype" w:hAnsi="Palatino Linotype" w:cs="Arial"/>
          <w:b/>
          <w:sz w:val="24"/>
          <w:szCs w:val="24"/>
          <w:u w:val="single"/>
        </w:rPr>
      </w:pPr>
    </w:p>
    <w:p w:rsidR="00954B52" w:rsidRPr="002A0A87" w:rsidP="00954B52" w14:paraId="4F40BE6C" w14:textId="77777777">
      <w:pPr>
        <w:jc w:val="center"/>
        <w:rPr>
          <w:rFonts w:ascii="Palatino Linotype" w:hAnsi="Palatino Linotype" w:cs="Arial"/>
          <w:b/>
          <w:sz w:val="24"/>
          <w:szCs w:val="24"/>
          <w:u w:val="single"/>
        </w:rPr>
      </w:pPr>
    </w:p>
    <w:p w:rsidR="00954B52" w:rsidRPr="002A0A87" w:rsidP="00954B52" w14:paraId="0A441224" w14:textId="777777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VEREADORA MARA CRISTINA CHOQUETTA</w:t>
      </w:r>
    </w:p>
    <w:p w:rsidR="00954B52" w:rsidRPr="002A0A87" w:rsidP="00954B52" w14:paraId="7078A52D"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Presidente</w:t>
      </w:r>
    </w:p>
    <w:p w:rsidR="00954B52" w:rsidRPr="002A0A87" w:rsidP="00954B52" w14:paraId="5F65A5B9" w14:textId="77777777">
      <w:pPr>
        <w:spacing w:line="380" w:lineRule="atLeast"/>
        <w:rPr>
          <w:rFonts w:ascii="Palatino Linotype" w:hAnsi="Palatino Linotype" w:cs="Arial"/>
          <w:b/>
          <w:sz w:val="24"/>
          <w:szCs w:val="24"/>
          <w:u w:val="single"/>
        </w:rPr>
      </w:pPr>
    </w:p>
    <w:p w:rsidR="00954B52" w:rsidP="00954B52" w14:paraId="36747DFA" w14:textId="77777777">
      <w:pPr>
        <w:spacing w:line="380" w:lineRule="atLeast"/>
        <w:jc w:val="center"/>
        <w:rPr>
          <w:bCs/>
          <w:i/>
          <w:sz w:val="24"/>
          <w:szCs w:val="24"/>
        </w:rPr>
      </w:pPr>
    </w:p>
    <w:p w:rsidR="00954B52" w:rsidP="00954B52" w14:paraId="0EAD2A76" w14:textId="638668EF">
      <w:pPr>
        <w:spacing w:line="380" w:lineRule="atLeast"/>
        <w:jc w:val="center"/>
        <w:rPr>
          <w:rFonts w:ascii="Palatino Linotype" w:hAnsi="Palatino Linotype" w:cs="Arial"/>
          <w:sz w:val="24"/>
          <w:szCs w:val="24"/>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MÁRCIO DENER CORAN</w:t>
      </w:r>
    </w:p>
    <w:p w:rsidR="00954B52" w:rsidRPr="002A0A87" w:rsidP="00954B52" w14:paraId="2442A8D7"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Vice-Presidente</w:t>
      </w:r>
    </w:p>
    <w:p w:rsidR="00954B52" w:rsidRPr="002A0A87" w:rsidP="00954B52" w14:paraId="2C540DE2" w14:textId="77777777">
      <w:pPr>
        <w:rPr>
          <w:rFonts w:ascii="Palatino Linotype" w:hAnsi="Palatino Linotype" w:cs="Arial"/>
          <w:b/>
          <w:sz w:val="24"/>
          <w:szCs w:val="24"/>
          <w:u w:val="single"/>
        </w:rPr>
      </w:pPr>
    </w:p>
    <w:p w:rsidR="00954B52" w:rsidP="00954B52" w14:paraId="7A488BD6" w14:textId="77777777">
      <w:pPr>
        <w:spacing w:line="380" w:lineRule="atLeast"/>
        <w:jc w:val="center"/>
        <w:rPr>
          <w:bCs/>
          <w:i/>
          <w:sz w:val="24"/>
          <w:szCs w:val="24"/>
        </w:rPr>
      </w:pPr>
    </w:p>
    <w:p w:rsidR="00954B52" w:rsidRPr="002A0A87" w:rsidP="00954B52" w14:paraId="7649FD7B" w14:textId="2E11C1E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MARCOS PAULO CEGATTI</w:t>
      </w:r>
    </w:p>
    <w:p w:rsidR="00954B52" w:rsidRPr="00485A1F" w:rsidP="00954B52" w14:paraId="0F8E5CAF"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954B52" w:rsidRPr="002A0A87" w:rsidP="00996888" w14:paraId="581443CF" w14:textId="77777777">
      <w:pPr>
        <w:pStyle w:val="NormalWeb"/>
        <w:spacing w:before="0" w:beforeAutospacing="0" w:line="360" w:lineRule="auto"/>
        <w:jc w:val="both"/>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FD2743" w:rsidRPr="00FD2743" w:rsidP="008A537A" w14:paraId="7A598125" w14:textId="3353AFB5">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 Vereador Wagner Ricardo Pereira</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rect id="_x0000_i1025" style="width:0;height:0.75pt" o:hralign="center" o:hrstd="t" o:hrnoshade="t" o:hr="t" o:bullet="t" fillcolor="#404040" stroked="f"/>
    </w:pict>
  </w:numPicBullet>
  <w:abstractNum w:abstractNumId="0">
    <w:nsid w:val="043C295B"/>
    <w:multiLevelType w:val="hybridMultilevel"/>
    <w:tmpl w:val="7A186E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6E4643"/>
    <w:multiLevelType w:val="hybridMultilevel"/>
    <w:tmpl w:val="9D429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2"/>
  </w:num>
  <w:num w:numId="4">
    <w:abstractNumId w:val="8"/>
  </w:num>
  <w:num w:numId="5">
    <w:abstractNumId w:val="15"/>
  </w:num>
  <w:num w:numId="6">
    <w:abstractNumId w:val="16"/>
  </w:num>
  <w:num w:numId="7">
    <w:abstractNumId w:val="4"/>
  </w:num>
  <w:num w:numId="8">
    <w:abstractNumId w:val="10"/>
  </w:num>
  <w:num w:numId="9">
    <w:abstractNumId w:val="7"/>
  </w:num>
  <w:num w:numId="10">
    <w:abstractNumId w:val="6"/>
  </w:num>
  <w:num w:numId="11">
    <w:abstractNumId w:val="5"/>
  </w:num>
  <w:num w:numId="12">
    <w:abstractNumId w:val="13"/>
  </w:num>
  <w:num w:numId="13">
    <w:abstractNumId w:val="1"/>
  </w:num>
  <w:num w:numId="14">
    <w:abstractNumId w:val="3"/>
  </w:num>
  <w:num w:numId="15">
    <w:abstractNumId w:val="1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07391"/>
    <w:rsid w:val="00015C44"/>
    <w:rsid w:val="00021AB3"/>
    <w:rsid w:val="00021B2B"/>
    <w:rsid w:val="000255C2"/>
    <w:rsid w:val="00026797"/>
    <w:rsid w:val="000359E5"/>
    <w:rsid w:val="00037531"/>
    <w:rsid w:val="00041A2D"/>
    <w:rsid w:val="00045A7A"/>
    <w:rsid w:val="00060746"/>
    <w:rsid w:val="00064FC8"/>
    <w:rsid w:val="00070FE7"/>
    <w:rsid w:val="00071EF2"/>
    <w:rsid w:val="0008150E"/>
    <w:rsid w:val="00093424"/>
    <w:rsid w:val="000950D7"/>
    <w:rsid w:val="00096F36"/>
    <w:rsid w:val="000A1377"/>
    <w:rsid w:val="000A1BE0"/>
    <w:rsid w:val="000C3715"/>
    <w:rsid w:val="000E49AD"/>
    <w:rsid w:val="000F1F6F"/>
    <w:rsid w:val="000F4933"/>
    <w:rsid w:val="00126AE5"/>
    <w:rsid w:val="0015590E"/>
    <w:rsid w:val="001641EC"/>
    <w:rsid w:val="00173831"/>
    <w:rsid w:val="00174B34"/>
    <w:rsid w:val="00177254"/>
    <w:rsid w:val="0017789C"/>
    <w:rsid w:val="00181506"/>
    <w:rsid w:val="00187FC6"/>
    <w:rsid w:val="00192536"/>
    <w:rsid w:val="001A23DA"/>
    <w:rsid w:val="001A3CE4"/>
    <w:rsid w:val="001B679E"/>
    <w:rsid w:val="001B7303"/>
    <w:rsid w:val="001C2A28"/>
    <w:rsid w:val="001C72FF"/>
    <w:rsid w:val="001D486B"/>
    <w:rsid w:val="001E17D3"/>
    <w:rsid w:val="001E2CEC"/>
    <w:rsid w:val="0020165D"/>
    <w:rsid w:val="00213987"/>
    <w:rsid w:val="00224CAA"/>
    <w:rsid w:val="00227E2C"/>
    <w:rsid w:val="00234376"/>
    <w:rsid w:val="00235385"/>
    <w:rsid w:val="00235AC6"/>
    <w:rsid w:val="002434FF"/>
    <w:rsid w:val="0025677C"/>
    <w:rsid w:val="00274CA1"/>
    <w:rsid w:val="0027672A"/>
    <w:rsid w:val="0028746E"/>
    <w:rsid w:val="00290407"/>
    <w:rsid w:val="00291486"/>
    <w:rsid w:val="00297379"/>
    <w:rsid w:val="002A0A87"/>
    <w:rsid w:val="002A2BD3"/>
    <w:rsid w:val="002B71AC"/>
    <w:rsid w:val="002C2D65"/>
    <w:rsid w:val="002C46E0"/>
    <w:rsid w:val="002F3157"/>
    <w:rsid w:val="002F34B4"/>
    <w:rsid w:val="00301C69"/>
    <w:rsid w:val="00312103"/>
    <w:rsid w:val="003121C8"/>
    <w:rsid w:val="00314780"/>
    <w:rsid w:val="00314B47"/>
    <w:rsid w:val="00320B2A"/>
    <w:rsid w:val="00322469"/>
    <w:rsid w:val="003330A6"/>
    <w:rsid w:val="00346786"/>
    <w:rsid w:val="00357196"/>
    <w:rsid w:val="00362E04"/>
    <w:rsid w:val="00370D25"/>
    <w:rsid w:val="00371A69"/>
    <w:rsid w:val="00374892"/>
    <w:rsid w:val="0038129E"/>
    <w:rsid w:val="00381C00"/>
    <w:rsid w:val="003826AE"/>
    <w:rsid w:val="00382F0D"/>
    <w:rsid w:val="00392CD4"/>
    <w:rsid w:val="00393C7C"/>
    <w:rsid w:val="003A5737"/>
    <w:rsid w:val="003A796B"/>
    <w:rsid w:val="003B1A59"/>
    <w:rsid w:val="003C0608"/>
    <w:rsid w:val="003C4F63"/>
    <w:rsid w:val="003C6BCB"/>
    <w:rsid w:val="003D6D21"/>
    <w:rsid w:val="003F0B47"/>
    <w:rsid w:val="003F59C5"/>
    <w:rsid w:val="003F5AED"/>
    <w:rsid w:val="00405098"/>
    <w:rsid w:val="004104BF"/>
    <w:rsid w:val="004161CD"/>
    <w:rsid w:val="00446FA1"/>
    <w:rsid w:val="00456770"/>
    <w:rsid w:val="00464667"/>
    <w:rsid w:val="00485A1F"/>
    <w:rsid w:val="00497A43"/>
    <w:rsid w:val="004A36B8"/>
    <w:rsid w:val="004B1D43"/>
    <w:rsid w:val="004B6AAD"/>
    <w:rsid w:val="004B6FDF"/>
    <w:rsid w:val="004D46DA"/>
    <w:rsid w:val="004E458F"/>
    <w:rsid w:val="004E6092"/>
    <w:rsid w:val="004F09E5"/>
    <w:rsid w:val="004F1B28"/>
    <w:rsid w:val="005242B1"/>
    <w:rsid w:val="00536A86"/>
    <w:rsid w:val="00543E03"/>
    <w:rsid w:val="005559D9"/>
    <w:rsid w:val="0055728D"/>
    <w:rsid w:val="00571662"/>
    <w:rsid w:val="0057515A"/>
    <w:rsid w:val="00590AA1"/>
    <w:rsid w:val="0059215B"/>
    <w:rsid w:val="00595E79"/>
    <w:rsid w:val="005A235E"/>
    <w:rsid w:val="005B0409"/>
    <w:rsid w:val="005B27A9"/>
    <w:rsid w:val="005B524F"/>
    <w:rsid w:val="005B5870"/>
    <w:rsid w:val="005B766F"/>
    <w:rsid w:val="005B7DA0"/>
    <w:rsid w:val="005D21C6"/>
    <w:rsid w:val="005D5E69"/>
    <w:rsid w:val="005E187F"/>
    <w:rsid w:val="005E491E"/>
    <w:rsid w:val="005F2654"/>
    <w:rsid w:val="005F4C80"/>
    <w:rsid w:val="005F4E55"/>
    <w:rsid w:val="005F54DA"/>
    <w:rsid w:val="00603CE4"/>
    <w:rsid w:val="00613747"/>
    <w:rsid w:val="00620972"/>
    <w:rsid w:val="00624040"/>
    <w:rsid w:val="006553FA"/>
    <w:rsid w:val="00655A35"/>
    <w:rsid w:val="006575C7"/>
    <w:rsid w:val="00657B9A"/>
    <w:rsid w:val="006834FE"/>
    <w:rsid w:val="00697874"/>
    <w:rsid w:val="006A54A9"/>
    <w:rsid w:val="006A61B1"/>
    <w:rsid w:val="006A762A"/>
    <w:rsid w:val="006B79EB"/>
    <w:rsid w:val="006C0A02"/>
    <w:rsid w:val="006C2150"/>
    <w:rsid w:val="006D1946"/>
    <w:rsid w:val="006E3A0E"/>
    <w:rsid w:val="006F48DD"/>
    <w:rsid w:val="00700836"/>
    <w:rsid w:val="007038AD"/>
    <w:rsid w:val="00725F41"/>
    <w:rsid w:val="00730F46"/>
    <w:rsid w:val="00746224"/>
    <w:rsid w:val="007463AC"/>
    <w:rsid w:val="00753ABE"/>
    <w:rsid w:val="0075508B"/>
    <w:rsid w:val="007556D8"/>
    <w:rsid w:val="00760915"/>
    <w:rsid w:val="007728E4"/>
    <w:rsid w:val="00774062"/>
    <w:rsid w:val="0078178E"/>
    <w:rsid w:val="00784CD4"/>
    <w:rsid w:val="00785E1B"/>
    <w:rsid w:val="00787BDF"/>
    <w:rsid w:val="007A08D1"/>
    <w:rsid w:val="007A2B84"/>
    <w:rsid w:val="007B2789"/>
    <w:rsid w:val="007B437F"/>
    <w:rsid w:val="007B6058"/>
    <w:rsid w:val="007C20C2"/>
    <w:rsid w:val="007C6029"/>
    <w:rsid w:val="007D4B66"/>
    <w:rsid w:val="007D715E"/>
    <w:rsid w:val="007E2CFA"/>
    <w:rsid w:val="007E3D67"/>
    <w:rsid w:val="007F0E8B"/>
    <w:rsid w:val="007F77D9"/>
    <w:rsid w:val="00804434"/>
    <w:rsid w:val="0080664C"/>
    <w:rsid w:val="0081335D"/>
    <w:rsid w:val="00824488"/>
    <w:rsid w:val="00826AD6"/>
    <w:rsid w:val="008358AB"/>
    <w:rsid w:val="00842408"/>
    <w:rsid w:val="00855DD2"/>
    <w:rsid w:val="00863D24"/>
    <w:rsid w:val="00864928"/>
    <w:rsid w:val="00871C88"/>
    <w:rsid w:val="00881E60"/>
    <w:rsid w:val="008857D9"/>
    <w:rsid w:val="008905C2"/>
    <w:rsid w:val="008A3797"/>
    <w:rsid w:val="008A537A"/>
    <w:rsid w:val="008A5D64"/>
    <w:rsid w:val="008A6C4A"/>
    <w:rsid w:val="008C08C5"/>
    <w:rsid w:val="008C125D"/>
    <w:rsid w:val="008C4AA2"/>
    <w:rsid w:val="008E1495"/>
    <w:rsid w:val="008E3052"/>
    <w:rsid w:val="00902EE1"/>
    <w:rsid w:val="009048A2"/>
    <w:rsid w:val="00904ADF"/>
    <w:rsid w:val="00906F65"/>
    <w:rsid w:val="00914ADC"/>
    <w:rsid w:val="00914BD6"/>
    <w:rsid w:val="00917024"/>
    <w:rsid w:val="009203ED"/>
    <w:rsid w:val="00920A3F"/>
    <w:rsid w:val="00925E1A"/>
    <w:rsid w:val="00947C10"/>
    <w:rsid w:val="00954B52"/>
    <w:rsid w:val="00962717"/>
    <w:rsid w:val="00963121"/>
    <w:rsid w:val="009709EF"/>
    <w:rsid w:val="0098102A"/>
    <w:rsid w:val="00996280"/>
    <w:rsid w:val="00996888"/>
    <w:rsid w:val="009A5E92"/>
    <w:rsid w:val="009D2523"/>
    <w:rsid w:val="009D56B8"/>
    <w:rsid w:val="009D6B7C"/>
    <w:rsid w:val="009F5C6E"/>
    <w:rsid w:val="00A00E3E"/>
    <w:rsid w:val="00A030E7"/>
    <w:rsid w:val="00A06A2D"/>
    <w:rsid w:val="00A12DD9"/>
    <w:rsid w:val="00A164DC"/>
    <w:rsid w:val="00A2557E"/>
    <w:rsid w:val="00A27446"/>
    <w:rsid w:val="00A32282"/>
    <w:rsid w:val="00A4350D"/>
    <w:rsid w:val="00A479DE"/>
    <w:rsid w:val="00A53B79"/>
    <w:rsid w:val="00A672C0"/>
    <w:rsid w:val="00A67DE2"/>
    <w:rsid w:val="00A71DDA"/>
    <w:rsid w:val="00A8132C"/>
    <w:rsid w:val="00A87E6C"/>
    <w:rsid w:val="00A92E38"/>
    <w:rsid w:val="00AA3B6E"/>
    <w:rsid w:val="00AB5A42"/>
    <w:rsid w:val="00AB7527"/>
    <w:rsid w:val="00AC11D7"/>
    <w:rsid w:val="00AC4214"/>
    <w:rsid w:val="00AC6E02"/>
    <w:rsid w:val="00AD2770"/>
    <w:rsid w:val="00AD416D"/>
    <w:rsid w:val="00AD7982"/>
    <w:rsid w:val="00AE3F8F"/>
    <w:rsid w:val="00AE52CD"/>
    <w:rsid w:val="00AE5858"/>
    <w:rsid w:val="00AF0C05"/>
    <w:rsid w:val="00AF3296"/>
    <w:rsid w:val="00AF4AC7"/>
    <w:rsid w:val="00B02DD1"/>
    <w:rsid w:val="00B22DA8"/>
    <w:rsid w:val="00B24D34"/>
    <w:rsid w:val="00B45DA1"/>
    <w:rsid w:val="00B46214"/>
    <w:rsid w:val="00B56BBF"/>
    <w:rsid w:val="00B57090"/>
    <w:rsid w:val="00B64D61"/>
    <w:rsid w:val="00B65347"/>
    <w:rsid w:val="00B74930"/>
    <w:rsid w:val="00B76616"/>
    <w:rsid w:val="00B909E6"/>
    <w:rsid w:val="00BA48C7"/>
    <w:rsid w:val="00BB410F"/>
    <w:rsid w:val="00BC3AFA"/>
    <w:rsid w:val="00BD04BA"/>
    <w:rsid w:val="00BD2CA7"/>
    <w:rsid w:val="00BE41D6"/>
    <w:rsid w:val="00BE6938"/>
    <w:rsid w:val="00BF2A6F"/>
    <w:rsid w:val="00C10154"/>
    <w:rsid w:val="00C13BBA"/>
    <w:rsid w:val="00C20193"/>
    <w:rsid w:val="00C25BC9"/>
    <w:rsid w:val="00C50C70"/>
    <w:rsid w:val="00C74E3F"/>
    <w:rsid w:val="00C75973"/>
    <w:rsid w:val="00C8480D"/>
    <w:rsid w:val="00C92DC8"/>
    <w:rsid w:val="00CA4280"/>
    <w:rsid w:val="00CA4349"/>
    <w:rsid w:val="00CB5D49"/>
    <w:rsid w:val="00CC3E72"/>
    <w:rsid w:val="00CC71E4"/>
    <w:rsid w:val="00CF288D"/>
    <w:rsid w:val="00CF47B6"/>
    <w:rsid w:val="00D05011"/>
    <w:rsid w:val="00D17E31"/>
    <w:rsid w:val="00D233F3"/>
    <w:rsid w:val="00D33D19"/>
    <w:rsid w:val="00D467B6"/>
    <w:rsid w:val="00D52DAE"/>
    <w:rsid w:val="00D543E6"/>
    <w:rsid w:val="00D635A7"/>
    <w:rsid w:val="00D66197"/>
    <w:rsid w:val="00D735E2"/>
    <w:rsid w:val="00D80A2E"/>
    <w:rsid w:val="00D81BDB"/>
    <w:rsid w:val="00D84C9F"/>
    <w:rsid w:val="00D85714"/>
    <w:rsid w:val="00D9258F"/>
    <w:rsid w:val="00D95652"/>
    <w:rsid w:val="00DA7AB4"/>
    <w:rsid w:val="00DB5081"/>
    <w:rsid w:val="00DC32F0"/>
    <w:rsid w:val="00DC54F9"/>
    <w:rsid w:val="00DC6027"/>
    <w:rsid w:val="00DE2A9A"/>
    <w:rsid w:val="00DF605F"/>
    <w:rsid w:val="00E11ECC"/>
    <w:rsid w:val="00E17B64"/>
    <w:rsid w:val="00E263E7"/>
    <w:rsid w:val="00E27D0C"/>
    <w:rsid w:val="00E3543A"/>
    <w:rsid w:val="00E457DF"/>
    <w:rsid w:val="00E57571"/>
    <w:rsid w:val="00E57668"/>
    <w:rsid w:val="00E7438B"/>
    <w:rsid w:val="00E81D6E"/>
    <w:rsid w:val="00E85CBF"/>
    <w:rsid w:val="00E86533"/>
    <w:rsid w:val="00E9017B"/>
    <w:rsid w:val="00EA0447"/>
    <w:rsid w:val="00EA375D"/>
    <w:rsid w:val="00EA4E83"/>
    <w:rsid w:val="00EB1570"/>
    <w:rsid w:val="00EB3C9A"/>
    <w:rsid w:val="00EC5677"/>
    <w:rsid w:val="00ED7D93"/>
    <w:rsid w:val="00EE457C"/>
    <w:rsid w:val="00EF4DE4"/>
    <w:rsid w:val="00EF630E"/>
    <w:rsid w:val="00F10F57"/>
    <w:rsid w:val="00F13148"/>
    <w:rsid w:val="00F21F60"/>
    <w:rsid w:val="00F2595D"/>
    <w:rsid w:val="00F304D4"/>
    <w:rsid w:val="00F33776"/>
    <w:rsid w:val="00F42F8D"/>
    <w:rsid w:val="00F518B8"/>
    <w:rsid w:val="00F51BD8"/>
    <w:rsid w:val="00F52B2B"/>
    <w:rsid w:val="00F54B63"/>
    <w:rsid w:val="00F55E24"/>
    <w:rsid w:val="00F6470D"/>
    <w:rsid w:val="00F7241A"/>
    <w:rsid w:val="00F729BD"/>
    <w:rsid w:val="00F733EC"/>
    <w:rsid w:val="00F74441"/>
    <w:rsid w:val="00F80A2B"/>
    <w:rsid w:val="00F83282"/>
    <w:rsid w:val="00F877CF"/>
    <w:rsid w:val="00F91A1F"/>
    <w:rsid w:val="00F921DB"/>
    <w:rsid w:val="00F972F9"/>
    <w:rsid w:val="00FA65BC"/>
    <w:rsid w:val="00FD088C"/>
    <w:rsid w:val="00FD2743"/>
    <w:rsid w:val="00FD367D"/>
    <w:rsid w:val="00FD767A"/>
    <w:rsid w:val="00FE396C"/>
    <w:rsid w:val="00FE3A08"/>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link w:val="Ttulo3Char"/>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2A0A87"/>
  </w:style>
  <w:style w:type="character" w:customStyle="1" w:styleId="Ttulo3Char">
    <w:name w:val="Título 3 Char"/>
    <w:basedOn w:val="DefaultParagraphFont"/>
    <w:link w:val="Heading3"/>
    <w:uiPriority w:val="9"/>
    <w:rsid w:val="00C25BC9"/>
    <w:rPr>
      <w:b/>
      <w:color w:val="000000"/>
      <w:sz w:val="28"/>
      <w:szCs w:val="28"/>
    </w:rPr>
  </w:style>
  <w:style w:type="table" w:styleId="PlainTable2">
    <w:name w:val="Plain Table 2"/>
    <w:basedOn w:val="TableNormal"/>
    <w:uiPriority w:val="42"/>
    <w:rsid w:val="00E85C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1817</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3</cp:revision>
  <cp:lastPrinted>2025-02-18T14:53:00Z</cp:lastPrinted>
  <dcterms:created xsi:type="dcterms:W3CDTF">2026-05-12T14:18:00Z</dcterms:created>
  <dcterms:modified xsi:type="dcterms:W3CDTF">2026-05-14T17:23:00Z</dcterms:modified>
</cp:coreProperties>
</file>