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571D2" w:rsidRPr="00465074" w:rsidP="00010A9F" w14:paraId="2298CC55" w14:textId="77777777">
      <w:pPr>
        <w:overflowPunct w:val="0"/>
        <w:autoSpaceDN w:val="0"/>
        <w:spacing w:before="120" w:after="120" w:line="276" w:lineRule="auto"/>
        <w:jc w:val="center"/>
        <w:rPr>
          <w:rFonts w:ascii="Courier New" w:hAnsi="Courier New" w:cs="Courier New"/>
          <w:b/>
          <w:bCs/>
          <w:kern w:val="3"/>
          <w:sz w:val="24"/>
          <w:szCs w:val="24"/>
        </w:rPr>
      </w:pPr>
      <w:r w:rsidRPr="00465074">
        <w:rPr>
          <w:rFonts w:ascii="Courier New" w:hAnsi="Courier New" w:cs="Courier New"/>
          <w:b/>
          <w:bCs/>
          <w:kern w:val="3"/>
          <w:sz w:val="24"/>
          <w:szCs w:val="24"/>
        </w:rPr>
        <w:t>Emenda Nº 1 ao Projeto de Lei Nº 36/2026</w:t>
      </w:r>
      <w:r w:rsidRPr="00465074">
        <w:rPr>
          <w:rFonts w:ascii="Courier New" w:hAnsi="Courier New" w:cs="Courier New"/>
          <w:b/>
          <w:bCs/>
          <w:kern w:val="3"/>
          <w:sz w:val="24"/>
          <w:szCs w:val="24"/>
        </w:rPr>
        <w:t>Emenda Nº 1 ao Projeto de Lei Nº 36/2026</w:t>
      </w:r>
    </w:p>
    <w:p w:rsidR="00DF1018" w:rsidRPr="00465074" w:rsidP="00010A9F" w14:paraId="7FB2DAC3" w14:textId="77777777">
      <w:pPr>
        <w:overflowPunct w:val="0"/>
        <w:autoSpaceDN w:val="0"/>
        <w:spacing w:before="120" w:after="120" w:line="276" w:lineRule="auto"/>
        <w:jc w:val="both"/>
        <w:rPr>
          <w:rFonts w:ascii="Courier New" w:hAnsi="Courier New" w:cs="Courier New"/>
          <w:kern w:val="3"/>
          <w:sz w:val="22"/>
          <w:szCs w:val="22"/>
        </w:rPr>
      </w:pPr>
    </w:p>
    <w:p w:rsidR="00465074" w:rsidRPr="00465074" w:rsidP="00010A9F" w14:paraId="47787FDB" w14:textId="285AF290">
      <w:pPr>
        <w:overflowPunct w:val="0"/>
        <w:autoSpaceDN w:val="0"/>
        <w:spacing w:before="120" w:after="120" w:line="276" w:lineRule="auto"/>
        <w:jc w:val="right"/>
        <w:rPr>
          <w:rFonts w:ascii="Courier New" w:hAnsi="Courier New" w:cs="Courier New"/>
          <w:i/>
          <w:iCs/>
          <w:kern w:val="3"/>
          <w:sz w:val="22"/>
          <w:szCs w:val="22"/>
        </w:rPr>
      </w:pPr>
      <w:r w:rsidRPr="00465074">
        <w:rPr>
          <w:rFonts w:ascii="Courier New" w:hAnsi="Courier New" w:cs="Courier New"/>
          <w:i/>
          <w:iCs/>
          <w:kern w:val="3"/>
          <w:sz w:val="22"/>
          <w:szCs w:val="22"/>
        </w:rPr>
        <w:t>(</w:t>
      </w:r>
      <w:r w:rsidRPr="000D4177" w:rsidR="000D4177">
        <w:rPr>
          <w:rFonts w:ascii="Courier New" w:hAnsi="Courier New" w:cs="Courier New"/>
          <w:i/>
          <w:iCs/>
          <w:kern w:val="3"/>
          <w:sz w:val="22"/>
          <w:szCs w:val="22"/>
        </w:rPr>
        <w:t xml:space="preserve">EMENDA MODIFICATIVA </w:t>
      </w:r>
      <w:r w:rsidRPr="002C6AAE" w:rsidR="002C6AAE">
        <w:rPr>
          <w:rFonts w:ascii="Courier New" w:hAnsi="Courier New" w:cs="Courier New"/>
          <w:i/>
          <w:iCs/>
          <w:kern w:val="3"/>
          <w:sz w:val="22"/>
          <w:szCs w:val="22"/>
        </w:rPr>
        <w:t>AO PROJETO DE LEI Nº 36/2026</w:t>
      </w:r>
      <w:r w:rsidRPr="00465074">
        <w:rPr>
          <w:rFonts w:ascii="Courier New" w:hAnsi="Courier New" w:cs="Courier New"/>
          <w:i/>
          <w:iCs/>
          <w:kern w:val="3"/>
          <w:sz w:val="22"/>
          <w:szCs w:val="22"/>
        </w:rPr>
        <w:t>)</w:t>
      </w:r>
    </w:p>
    <w:p w:rsidR="00DF1018" w:rsidP="00010A9F" w14:paraId="27DE73C1" w14:textId="77777777">
      <w:pPr>
        <w:overflowPunct w:val="0"/>
        <w:autoSpaceDN w:val="0"/>
        <w:spacing w:before="120" w:after="120" w:line="276" w:lineRule="auto"/>
        <w:jc w:val="both"/>
        <w:rPr>
          <w:rFonts w:ascii="Courier New" w:hAnsi="Courier New" w:cs="Courier New"/>
          <w:kern w:val="3"/>
          <w:sz w:val="22"/>
          <w:szCs w:val="22"/>
        </w:rPr>
      </w:pPr>
    </w:p>
    <w:p w:rsidR="00465074" w:rsidRPr="00465074" w:rsidP="00010A9F" w14:paraId="433DB247" w14:textId="36FB4324">
      <w:pPr>
        <w:spacing w:before="120" w:after="120" w:line="276" w:lineRule="auto"/>
        <w:ind w:firstLine="708"/>
        <w:jc w:val="both"/>
        <w:rPr>
          <w:rFonts w:ascii="Courier New" w:hAnsi="Courier New" w:cs="Courier New"/>
          <w:sz w:val="22"/>
          <w:szCs w:val="22"/>
        </w:rPr>
      </w:pPr>
      <w:r w:rsidRPr="002C6AAE">
        <w:rPr>
          <w:rFonts w:ascii="Courier New" w:hAnsi="Courier New" w:cs="Courier New"/>
          <w:sz w:val="22"/>
          <w:szCs w:val="22"/>
        </w:rPr>
        <w:t>Modifica a redação do Artigo 4º do Projeto de Lei nº 36/2026, que passa a vigorar com a seguinte redação:</w:t>
      </w:r>
    </w:p>
    <w:p w:rsidR="00465074" w:rsidRPr="00465074" w:rsidP="00010A9F" w14:paraId="30ED38CB" w14:textId="77777777">
      <w:pPr>
        <w:spacing w:before="120" w:after="120" w:line="276" w:lineRule="auto"/>
        <w:ind w:firstLine="708"/>
        <w:jc w:val="both"/>
        <w:rPr>
          <w:rFonts w:ascii="Courier New" w:hAnsi="Courier New" w:cs="Courier New"/>
          <w:sz w:val="22"/>
          <w:szCs w:val="22"/>
        </w:rPr>
      </w:pPr>
    </w:p>
    <w:p w:rsidR="0088408C" w:rsidP="00010A9F" w14:paraId="6612735D" w14:textId="3998B4AA">
      <w:pPr>
        <w:spacing w:before="120" w:after="120" w:line="276" w:lineRule="auto"/>
        <w:jc w:val="both"/>
        <w:rPr>
          <w:rFonts w:ascii="Courier New" w:hAnsi="Courier New" w:cs="Courier New"/>
          <w:sz w:val="22"/>
          <w:szCs w:val="22"/>
        </w:rPr>
      </w:pPr>
      <w:r w:rsidRPr="0035352F">
        <w:rPr>
          <w:rFonts w:ascii="Courier New" w:hAnsi="Courier New" w:cs="Courier New"/>
          <w:sz w:val="22"/>
          <w:szCs w:val="22"/>
        </w:rPr>
        <w:t>“</w:t>
      </w:r>
      <w:r w:rsidRPr="000D4177" w:rsidR="000D4177">
        <w:rPr>
          <w:rFonts w:ascii="Courier New" w:hAnsi="Courier New" w:cs="Courier New"/>
          <w:b/>
          <w:bCs/>
          <w:sz w:val="22"/>
          <w:szCs w:val="22"/>
        </w:rPr>
        <w:t>Art. 4</w:t>
      </w:r>
      <w:r w:rsidR="002C6AAE">
        <w:rPr>
          <w:rFonts w:ascii="Courier New" w:hAnsi="Courier New" w:cs="Courier New"/>
          <w:b/>
          <w:bCs/>
          <w:sz w:val="22"/>
          <w:szCs w:val="22"/>
        </w:rPr>
        <w:t>º</w:t>
      </w:r>
      <w:r w:rsidRPr="001604C3" w:rsidR="001604C3">
        <w:rPr>
          <w:rFonts w:ascii="Courier New" w:hAnsi="Courier New" w:cs="Courier New"/>
          <w:sz w:val="22"/>
          <w:szCs w:val="22"/>
        </w:rPr>
        <w:t xml:space="preserve"> </w:t>
      </w:r>
      <w:r w:rsidRPr="002C6AAE" w:rsidR="002C6AAE">
        <w:rPr>
          <w:rFonts w:ascii="Courier New" w:hAnsi="Courier New" w:cs="Courier New"/>
          <w:sz w:val="22"/>
          <w:szCs w:val="22"/>
        </w:rPr>
        <w:t>Compete ao Setor de Recursos Humanos a atualização dos assentamentos funcionais e a emissão das certidões de tempo de serviços necessários à execução desta norma, devendo fornecer ao servidor interessado, de ofício ou mediante requerimento, demonstrativo individualizado contendo a memória de cálculo do tempo restabelecido e a respectiva projeção dos reflexos financeiros nas vantagens funcionais</w:t>
      </w:r>
      <w:r w:rsidRPr="002C6AAE" w:rsidR="002C6AAE">
        <w:t xml:space="preserve"> </w:t>
      </w:r>
      <w:r w:rsidRPr="002C6AAE" w:rsidR="002C6AAE">
        <w:rPr>
          <w:rFonts w:ascii="Courier New" w:hAnsi="Courier New" w:cs="Courier New"/>
          <w:sz w:val="22"/>
          <w:szCs w:val="22"/>
        </w:rPr>
        <w:t>previstas no Art. 2º desta Lei.</w:t>
      </w:r>
      <w:r w:rsidR="000D4177">
        <w:rPr>
          <w:rFonts w:ascii="Courier New" w:hAnsi="Courier New" w:cs="Courier New"/>
          <w:sz w:val="22"/>
          <w:szCs w:val="22"/>
        </w:rPr>
        <w:t>”</w:t>
      </w:r>
    </w:p>
    <w:p w:rsidR="00A60362" w:rsidRPr="00465074" w:rsidP="00010A9F" w14:paraId="1FEA10E4" w14:textId="77777777">
      <w:pPr>
        <w:spacing w:before="120" w:after="120" w:line="276" w:lineRule="auto"/>
        <w:jc w:val="both"/>
        <w:rPr>
          <w:rFonts w:ascii="Courier New" w:hAnsi="Courier New" w:cs="Courier New"/>
          <w:sz w:val="22"/>
          <w:szCs w:val="22"/>
        </w:rPr>
      </w:pPr>
    </w:p>
    <w:p w:rsidR="00465074" w:rsidRPr="00465074" w:rsidP="00010A9F" w14:paraId="60047F74" w14:textId="145EEA9F">
      <w:pPr>
        <w:spacing w:before="120" w:after="120" w:line="276" w:lineRule="auto"/>
        <w:jc w:val="right"/>
        <w:rPr>
          <w:rFonts w:ascii="Courier New" w:hAnsi="Courier New" w:cs="Courier New"/>
          <w:i/>
          <w:iCs/>
          <w:sz w:val="22"/>
          <w:szCs w:val="22"/>
        </w:rPr>
      </w:pPr>
      <w:r w:rsidRPr="00465074">
        <w:rPr>
          <w:rFonts w:ascii="Courier New" w:hAnsi="Courier New" w:cs="Courier New"/>
          <w:i/>
          <w:iCs/>
          <w:sz w:val="22"/>
          <w:szCs w:val="22"/>
        </w:rPr>
        <w:t xml:space="preserve">Sala das Sessões “Vereador Santo </w:t>
      </w:r>
      <w:r w:rsidRPr="00465074">
        <w:rPr>
          <w:rFonts w:ascii="Courier New" w:hAnsi="Courier New" w:cs="Courier New"/>
          <w:i/>
          <w:iCs/>
          <w:sz w:val="22"/>
          <w:szCs w:val="22"/>
        </w:rPr>
        <w:t>Róttoli</w:t>
      </w:r>
      <w:r w:rsidRPr="00465074">
        <w:rPr>
          <w:rFonts w:ascii="Courier New" w:hAnsi="Courier New" w:cs="Courier New"/>
          <w:i/>
          <w:iCs/>
          <w:sz w:val="22"/>
          <w:szCs w:val="22"/>
        </w:rPr>
        <w:t xml:space="preserve">”, </w:t>
      </w:r>
      <w:r w:rsidRPr="00465074">
        <w:rPr>
          <w:rFonts w:ascii="Courier New" w:hAnsi="Courier New" w:cs="Courier New"/>
          <w:i/>
          <w:iCs/>
          <w:sz w:val="22"/>
          <w:szCs w:val="22"/>
        </w:rPr>
        <w:fldChar w:fldCharType="begin"/>
      </w:r>
      <w:r w:rsidRPr="00465074">
        <w:rPr>
          <w:rFonts w:ascii="Courier New" w:hAnsi="Courier New" w:cs="Courier New"/>
          <w:i/>
          <w:iCs/>
          <w:sz w:val="22"/>
          <w:szCs w:val="22"/>
        </w:rPr>
        <w:instrText xml:space="preserve"> TIME \@ "d' de 'MMMM' de 'yyyy" </w:instrText>
      </w:r>
      <w:r w:rsidRPr="00465074">
        <w:rPr>
          <w:rFonts w:ascii="Courier New" w:hAnsi="Courier New" w:cs="Courier New"/>
          <w:i/>
          <w:iCs/>
          <w:sz w:val="22"/>
          <w:szCs w:val="22"/>
        </w:rPr>
        <w:fldChar w:fldCharType="separate"/>
      </w:r>
      <w:r w:rsidRPr="00465074">
        <w:rPr>
          <w:rFonts w:ascii="Courier New" w:hAnsi="Courier New" w:cs="Courier New"/>
          <w:i/>
          <w:iCs/>
          <w:sz w:val="22"/>
          <w:szCs w:val="22"/>
        </w:rPr>
        <w:t>15 de maio de 2026</w:t>
      </w:r>
      <w:r w:rsidRPr="00465074">
        <w:rPr>
          <w:rFonts w:ascii="Courier New" w:hAnsi="Courier New" w:cs="Courier New"/>
          <w:i/>
          <w:iCs/>
          <w:sz w:val="22"/>
          <w:szCs w:val="22"/>
        </w:rPr>
        <w:fldChar w:fldCharType="end"/>
      </w:r>
      <w:r w:rsidRPr="00465074">
        <w:rPr>
          <w:rFonts w:ascii="Courier New" w:hAnsi="Courier New" w:cs="Courier New"/>
          <w:i/>
          <w:iCs/>
          <w:sz w:val="22"/>
          <w:szCs w:val="22"/>
        </w:rPr>
        <w:t>.</w:t>
      </w:r>
    </w:p>
    <w:p w:rsidR="005C5121" w:rsidP="00010A9F" w14:paraId="28D11E3A" w14:textId="77777777">
      <w:pPr>
        <w:spacing w:before="120" w:after="120" w:line="276" w:lineRule="auto"/>
        <w:ind w:firstLine="708"/>
        <w:jc w:val="both"/>
        <w:rPr>
          <w:rFonts w:ascii="Courier New" w:hAnsi="Courier New" w:cs="Courier New"/>
          <w:sz w:val="22"/>
          <w:szCs w:val="22"/>
        </w:rPr>
      </w:pPr>
    </w:p>
    <w:p w:rsidR="00E144CB" w:rsidRPr="00465074" w:rsidP="00010A9F" w14:paraId="739E9032" w14:textId="77777777">
      <w:pPr>
        <w:spacing w:before="120" w:after="120" w:line="276" w:lineRule="auto"/>
        <w:ind w:firstLine="708"/>
        <w:jc w:val="both"/>
        <w:rPr>
          <w:rFonts w:ascii="Courier New" w:hAnsi="Courier New" w:cs="Courier New"/>
          <w:sz w:val="22"/>
          <w:szCs w:val="22"/>
        </w:rPr>
      </w:pPr>
    </w:p>
    <w:p w:rsidR="00465074" w:rsidRPr="00465074" w:rsidP="00010A9F" w14:paraId="74A51B15" w14:textId="77777777">
      <w:pPr>
        <w:spacing w:before="120" w:after="120" w:line="276" w:lineRule="auto"/>
        <w:jc w:val="center"/>
        <w:rPr>
          <w:rFonts w:ascii="Courier New" w:hAnsi="Courier New" w:cs="Courier New"/>
          <w:sz w:val="22"/>
          <w:szCs w:val="22"/>
        </w:rPr>
      </w:pPr>
      <w:r w:rsidRPr="00465074">
        <w:rPr>
          <w:rFonts w:ascii="Courier New" w:hAnsi="Courier New" w:cs="Courier New"/>
          <w:i/>
          <w:iCs/>
          <w:sz w:val="22"/>
          <w:szCs w:val="22"/>
        </w:rPr>
        <w:t>(assinado digitalmente)</w:t>
      </w:r>
    </w:p>
    <w:p w:rsidR="00465074" w:rsidP="00010A9F" w14:paraId="7D0CF115" w14:textId="77777777">
      <w:pPr>
        <w:spacing w:before="120" w:after="120" w:line="276" w:lineRule="auto"/>
        <w:jc w:val="center"/>
        <w:rPr>
          <w:rFonts w:ascii="Courier New" w:hAnsi="Courier New" w:cs="Courier New"/>
          <w:b/>
          <w:bCs/>
          <w:sz w:val="22"/>
          <w:szCs w:val="22"/>
        </w:rPr>
      </w:pPr>
      <w:r w:rsidRPr="00465074">
        <w:rPr>
          <w:rFonts w:ascii="Courier New" w:hAnsi="Courier New" w:cs="Courier New"/>
          <w:b/>
          <w:bCs/>
          <w:sz w:val="22"/>
          <w:szCs w:val="22"/>
        </w:rPr>
        <w:t>VEREADOR ERNANI LUIZ DONATTI GRAGNANELLO</w:t>
      </w:r>
      <w:r w:rsidRPr="00465074">
        <w:rPr>
          <w:rFonts w:ascii="Courier New" w:hAnsi="Courier New" w:cs="Courier New"/>
          <w:b/>
          <w:bCs/>
          <w:sz w:val="22"/>
          <w:szCs w:val="22"/>
        </w:rPr>
        <w:br/>
        <w:t>PARTIDO DOS TRABALHADORES (PT)</w:t>
      </w:r>
    </w:p>
    <w:p w:rsidR="00465074" w:rsidRPr="00465074" w:rsidP="00010A9F" w14:paraId="5FEF3A86" w14:textId="77777777">
      <w:pPr>
        <w:spacing w:before="120" w:after="120" w:line="276" w:lineRule="auto"/>
        <w:jc w:val="center"/>
        <w:rPr>
          <w:rFonts w:ascii="Courier New" w:hAnsi="Courier New" w:cs="Courier New"/>
          <w:sz w:val="22"/>
          <w:szCs w:val="22"/>
        </w:rPr>
      </w:pPr>
      <w:r w:rsidRPr="00465074">
        <w:rPr>
          <w:rFonts w:ascii="Courier New" w:hAnsi="Courier New" w:cs="Courier New"/>
          <w:b/>
          <w:noProof/>
          <w:sz w:val="22"/>
          <w:szCs w:val="22"/>
        </w:rPr>
        <w:drawing>
          <wp:inline distT="0" distB="0" distL="0" distR="0">
            <wp:extent cx="2791624" cy="1295400"/>
            <wp:effectExtent l="0" t="0" r="8890" b="0"/>
            <wp:docPr id="5623878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060339" name="Imagem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l="7288" t="19460" r="7742" b="25128"/>
                    <a:stretch>
                      <a:fillRect/>
                    </a:stretch>
                  </pic:blipFill>
                  <pic:spPr bwMode="auto">
                    <a:xfrm>
                      <a:off x="0" y="0"/>
                      <a:ext cx="2838751" cy="1317268"/>
                    </a:xfrm>
                    <a:prstGeom prst="rect">
                      <a:avLst/>
                    </a:prstGeom>
                    <a:noFill/>
                    <a:ln>
                      <a:noFill/>
                    </a:ln>
                  </pic:spPr>
                </pic:pic>
              </a:graphicData>
            </a:graphic>
          </wp:inline>
        </w:drawing>
      </w:r>
      <w:r w:rsidRPr="00465074">
        <w:rPr>
          <w:rFonts w:ascii="Courier New" w:hAnsi="Courier New" w:cs="Courier New"/>
          <w:sz w:val="22"/>
          <w:szCs w:val="22"/>
        </w:rPr>
        <w:br w:type="page"/>
      </w:r>
    </w:p>
    <w:p w:rsidR="00465074" w:rsidRPr="00465074" w:rsidP="00010A9F" w14:paraId="77A50B75" w14:textId="77777777">
      <w:pPr>
        <w:spacing w:before="120" w:after="120" w:line="276" w:lineRule="auto"/>
        <w:jc w:val="center"/>
        <w:rPr>
          <w:rFonts w:ascii="Courier New" w:hAnsi="Courier New" w:cs="Courier New"/>
          <w:b/>
          <w:bCs/>
          <w:sz w:val="22"/>
          <w:szCs w:val="22"/>
          <w:u w:val="single"/>
        </w:rPr>
      </w:pPr>
      <w:r w:rsidRPr="00465074">
        <w:rPr>
          <w:rFonts w:ascii="Courier New" w:hAnsi="Courier New" w:cs="Courier New"/>
          <w:b/>
          <w:bCs/>
          <w:sz w:val="22"/>
          <w:szCs w:val="22"/>
          <w:u w:val="single"/>
        </w:rPr>
        <w:t>JUSTIFICAÇÃO</w:t>
      </w:r>
    </w:p>
    <w:p w:rsidR="00A164B8" w:rsidP="00010A9F" w14:paraId="58021A9A" w14:textId="77777777">
      <w:pPr>
        <w:spacing w:before="120" w:after="120" w:line="276" w:lineRule="auto"/>
        <w:ind w:firstLine="567"/>
        <w:jc w:val="both"/>
        <w:rPr>
          <w:rFonts w:ascii="Courier New" w:hAnsi="Courier New" w:cs="Courier New"/>
          <w:sz w:val="22"/>
          <w:szCs w:val="22"/>
        </w:rPr>
      </w:pPr>
    </w:p>
    <w:p w:rsidR="00E90409" w:rsidRPr="00E90409" w:rsidP="00E90409" w14:paraId="6B824F69" w14:textId="2FC4E710">
      <w:pPr>
        <w:spacing w:before="120" w:after="120" w:line="276" w:lineRule="auto"/>
        <w:ind w:firstLine="567"/>
        <w:jc w:val="both"/>
        <w:rPr>
          <w:rFonts w:ascii="Courier New" w:hAnsi="Courier New" w:cs="Courier New"/>
          <w:sz w:val="22"/>
          <w:szCs w:val="22"/>
        </w:rPr>
      </w:pPr>
      <w:r w:rsidRPr="00E90409">
        <w:rPr>
          <w:rFonts w:ascii="Courier New" w:hAnsi="Courier New" w:cs="Courier New"/>
          <w:sz w:val="22"/>
          <w:szCs w:val="22"/>
        </w:rPr>
        <w:t xml:space="preserve">A presente emenda tem como objetivo central garantir que </w:t>
      </w:r>
      <w:r w:rsidR="00BF35FF">
        <w:rPr>
          <w:rFonts w:ascii="Courier New" w:hAnsi="Courier New" w:cs="Courier New"/>
          <w:sz w:val="22"/>
          <w:szCs w:val="22"/>
        </w:rPr>
        <w:t xml:space="preserve">o </w:t>
      </w:r>
      <w:r w:rsidRPr="00E90409">
        <w:rPr>
          <w:rFonts w:ascii="Courier New" w:hAnsi="Courier New" w:cs="Courier New"/>
          <w:sz w:val="22"/>
          <w:szCs w:val="22"/>
        </w:rPr>
        <w:t xml:space="preserve">servidor público tenha total clareza e segurança sobre como seus direitos estão sendo calculados. Ao exigir que a administração forneça a "memória de cálculo", estamos apenas tirando o processo da "caixa-preta" e permitindo que o trabalhador confira se a recomposição de seus biênios e quinquênios está correta, evitando erros que poderiam gerar prejuízos financeiros ou futuras ações judiciais contra a Câmara. É uma medida de </w:t>
      </w:r>
      <w:r w:rsidRPr="00E90409">
        <w:rPr>
          <w:rFonts w:ascii="Courier New" w:hAnsi="Courier New" w:cs="Courier New"/>
          <w:b/>
          <w:bCs/>
          <w:sz w:val="22"/>
          <w:szCs w:val="22"/>
        </w:rPr>
        <w:t>transparência simples</w:t>
      </w:r>
      <w:r w:rsidRPr="00E90409">
        <w:rPr>
          <w:rFonts w:ascii="Courier New" w:hAnsi="Courier New" w:cs="Courier New"/>
          <w:sz w:val="22"/>
          <w:szCs w:val="22"/>
        </w:rPr>
        <w:t>, que não gera custos extras, mas que traz o respeito e a dignidade que o servidor merece ao ver seu tempo de serviço finalmente reconhecido.</w:t>
      </w:r>
    </w:p>
    <w:p w:rsidR="00E90409" w:rsidP="00E90409" w14:paraId="3E52B275" w14:textId="77777777">
      <w:pPr>
        <w:spacing w:before="120" w:after="120" w:line="276" w:lineRule="auto"/>
        <w:ind w:firstLine="567"/>
        <w:jc w:val="both"/>
        <w:rPr>
          <w:rFonts w:ascii="Courier New" w:hAnsi="Courier New" w:cs="Courier New"/>
          <w:sz w:val="22"/>
          <w:szCs w:val="22"/>
        </w:rPr>
      </w:pPr>
      <w:r w:rsidRPr="00E90409">
        <w:rPr>
          <w:rFonts w:ascii="Courier New" w:hAnsi="Courier New" w:cs="Courier New"/>
          <w:sz w:val="22"/>
          <w:szCs w:val="22"/>
        </w:rPr>
        <w:t xml:space="preserve">A pertinência do tema e a plena constitucionalidade desta emenda parlamentar encontram eco na jurisprudência consolidada dos Tribunais Superiores. O </w:t>
      </w:r>
      <w:r w:rsidRPr="00E90409">
        <w:rPr>
          <w:rFonts w:ascii="Courier New" w:hAnsi="Courier New" w:cs="Courier New"/>
          <w:b/>
          <w:bCs/>
          <w:sz w:val="22"/>
          <w:szCs w:val="22"/>
        </w:rPr>
        <w:t>Supremo Tribunal Federal</w:t>
      </w:r>
      <w:r w:rsidRPr="00E90409">
        <w:rPr>
          <w:rFonts w:ascii="Courier New" w:hAnsi="Courier New" w:cs="Courier New"/>
          <w:sz w:val="22"/>
          <w:szCs w:val="22"/>
        </w:rPr>
        <w:t xml:space="preserve">, ao julgar o </w:t>
      </w:r>
      <w:r w:rsidRPr="00E90409">
        <w:rPr>
          <w:rFonts w:ascii="Courier New" w:hAnsi="Courier New" w:cs="Courier New"/>
          <w:b/>
          <w:bCs/>
          <w:sz w:val="22"/>
          <w:szCs w:val="22"/>
        </w:rPr>
        <w:t>RE 1508920 SP</w:t>
      </w:r>
      <w:r w:rsidRPr="00E90409">
        <w:rPr>
          <w:rFonts w:ascii="Courier New" w:hAnsi="Courier New" w:cs="Courier New"/>
          <w:sz w:val="22"/>
          <w:szCs w:val="22"/>
        </w:rPr>
        <w:t>, reafirmou que medidas que promovem a transparência e a publicidade administrativa não usurpam a competência do Executivo, pois apenas concretizam princípios constitucionais já existentes, como a moralidade e o direito à informação</w:t>
      </w:r>
      <w:r>
        <w:rPr>
          <w:rFonts w:ascii="Courier New" w:hAnsi="Courier New" w:cs="Courier New"/>
          <w:sz w:val="22"/>
          <w:szCs w:val="22"/>
        </w:rPr>
        <w:t>:</w:t>
      </w:r>
    </w:p>
    <w:p w:rsidR="00E90409" w:rsidP="00E90409" w14:paraId="41E1FF52" w14:textId="77777777">
      <w:pPr>
        <w:spacing w:before="120" w:after="120" w:line="276" w:lineRule="auto"/>
        <w:ind w:firstLine="567"/>
        <w:jc w:val="both"/>
        <w:rPr>
          <w:rFonts w:ascii="Courier New" w:hAnsi="Courier New" w:cs="Courier New"/>
          <w:sz w:val="22"/>
          <w:szCs w:val="22"/>
        </w:rPr>
      </w:pPr>
    </w:p>
    <w:p w:rsidR="00E90409" w:rsidRPr="00491493" w:rsidP="00E90409" w14:paraId="0913CBA6" w14:textId="2F240FB0">
      <w:pPr>
        <w:pBdr>
          <w:left w:val="single" w:sz="4" w:space="4" w:color="auto"/>
          <w:right w:val="single" w:sz="4" w:space="4" w:color="auto"/>
        </w:pBdr>
        <w:ind w:left="1701"/>
        <w:jc w:val="both"/>
        <w:rPr>
          <w:rFonts w:ascii="Courier New" w:hAnsi="Courier New" w:cs="Courier New"/>
        </w:rPr>
      </w:pPr>
      <w:r w:rsidRPr="00E90409">
        <w:rPr>
          <w:rFonts w:ascii="Courier New" w:hAnsi="Courier New" w:cs="Courier New"/>
        </w:rPr>
        <w:t xml:space="preserve">Ementa: Direito administrativo e outras matérias de direito público. Recurso extraordinário. Lei municipal. Transparência pública. Dados abertos. Vício de iniciativa. Criação de órgão. Separação de poderes. Recurso parcialmente provido. I. Caso em exame 1. Recurso extraordinário interposto contra acórdão do Tribunal de Justiça do Estado de São Paulo que declarou a inconstitucionalidade da Lei Municipal 8.677/2021 de Marília/SP por vício de iniciativa, ao argumento de violação ao princípio da separação de poderes e da reserva da administração. A lei impugnada disciplina a publicidade no âmbito municipal, tratando da divulgação de informações públicas no formato de dados abertos, incluindo a previsão de uma Política Municipal de Dados Abertos. 2. O Tribunal de Justiça julgou procedente o pedido formulado na ação direta de inconstitucionalidade, declarando a Lei 8.677/2021 inconstitucional ao fundamento de que a norma invadiu a competência exclusiva do Poder Executivo, notadamente por tratar da forma e do conteúdo da divulgação de informações e impor obrigações a servidores e a órgãos da Administração local. II. Questão em discussão 3. Há uma questão em discussão: saber se lei, de iniciativa parlamentar, que dispõe sobre a criação de órgão público, bem como estabelece obrigações para regulamentar a publicidade e a transparência na administração municipal padece de vício de inconstitucionalidade formal. III. Razões de decidir 4. Os artigos 6º a 7º, § 2º, da Lei Municipal 8.677/2021, ao disporem sobre a criação de um órgão central para gerir a Política Municipal de Dados Abertos e definir suas atribuições, padecem de vício de iniciativa, em violação ao art. 61 da Constituição Federal, haja vista que a matéria é afeta à iniciativa privativa do Chefe do Poder Executivo. A jurisprudência do Supremo Tribunal Federal é pacífica no sentido de que é inconstitucional, por vício formal, a lei resultante de iniciativa parlamentar que trate de atribuições </w:t>
      </w:r>
      <w:r w:rsidRPr="00E90409">
        <w:rPr>
          <w:rFonts w:ascii="Courier New" w:hAnsi="Courier New" w:cs="Courier New"/>
        </w:rPr>
        <w:t>de órgãos públicos. 5. Com relação aos demais dispositivos da Lei Municipal 8.677/2021, não há qualquer disposição que altere a estrutura ou a organização de órgãos da Administração municipal. De acordo com o tema 917 da repercussão geral, não usurpa a competência privativa do Chefe do Poder Executivo lei que, embora crie despesa para a Administração Pública, não trata da sua estrutura ou da atribuição de seus órgãos nem do regime jurídico de servidores públicos. 6. As medidas de transparência e publicidade promovidas pela lei, em seus dispositivos constitucionais, refletem e promovem os princípios constitucionais da Administração Pública (publicidade, legalidade e moralidade – art. 37 da Constituição Federal) e o direito de acesso à informação (art. 5º, XIV, da Constituição Federal), contribuindo para a legitimidade das ações governamentais e a fiscalização pública. IV. Dispositivo e tese 7. Recurso extraordinário parcialmente provido. Reconhecimento da inconstitucionalidade dos artigos 6º e 7º, § 2º, da Lei 8.677/2021, do Município de Marília/SP, e manutenção da constitucionalidade dos demais dispositivos da referida norma.</w:t>
      </w:r>
      <w:r>
        <w:rPr>
          <w:rFonts w:ascii="Courier New" w:hAnsi="Courier New" w:cs="Courier New"/>
        </w:rPr>
        <w:t xml:space="preserve"> </w:t>
      </w:r>
      <w:r w:rsidRPr="00E90409">
        <w:rPr>
          <w:rFonts w:ascii="Courier New" w:hAnsi="Courier New" w:cs="Courier New"/>
        </w:rPr>
        <w:t xml:space="preserve">(STF - RE: 00000000000001508920 SP - SÃO PAULO, Relator: Min. GILMAR MENDES, Data de Julgamento: 25/08/2025, Tribunal Pleno, Data de Publicação: PROCESSO ELETRÔNICO </w:t>
      </w:r>
      <w:r w:rsidRPr="00E90409">
        <w:rPr>
          <w:rFonts w:ascii="Courier New" w:hAnsi="Courier New" w:cs="Courier New"/>
        </w:rPr>
        <w:t>DJe</w:t>
      </w:r>
      <w:r w:rsidRPr="00E90409">
        <w:rPr>
          <w:rFonts w:ascii="Courier New" w:hAnsi="Courier New" w:cs="Courier New"/>
        </w:rPr>
        <w:t xml:space="preserve">-s/n </w:t>
      </w:r>
      <w:r w:rsidRPr="00E90409">
        <w:rPr>
          <w:rFonts w:ascii="Courier New" w:hAnsi="Courier New" w:cs="Courier New"/>
        </w:rPr>
        <w:t>DIVULG</w:t>
      </w:r>
      <w:r w:rsidRPr="00E90409">
        <w:rPr>
          <w:rFonts w:ascii="Courier New" w:hAnsi="Courier New" w:cs="Courier New"/>
        </w:rPr>
        <w:t xml:space="preserve"> 15-10-2025 </w:t>
      </w:r>
      <w:r w:rsidRPr="00E90409">
        <w:rPr>
          <w:rFonts w:ascii="Courier New" w:hAnsi="Courier New" w:cs="Courier New"/>
        </w:rPr>
        <w:t>PUBLIC</w:t>
      </w:r>
      <w:r w:rsidRPr="00E90409">
        <w:rPr>
          <w:rFonts w:ascii="Courier New" w:hAnsi="Courier New" w:cs="Courier New"/>
        </w:rPr>
        <w:t xml:space="preserve"> 16-10-2025)</w:t>
      </w:r>
    </w:p>
    <w:p w:rsidR="00E90409" w:rsidP="00E90409" w14:paraId="056326B0" w14:textId="77777777">
      <w:pPr>
        <w:spacing w:before="120" w:after="120" w:line="276" w:lineRule="auto"/>
        <w:ind w:firstLine="567"/>
        <w:jc w:val="both"/>
        <w:rPr>
          <w:rFonts w:ascii="Courier New" w:hAnsi="Courier New" w:cs="Courier New"/>
          <w:sz w:val="22"/>
          <w:szCs w:val="22"/>
        </w:rPr>
      </w:pPr>
    </w:p>
    <w:p w:rsidR="00E90409" w:rsidP="00E90409" w14:paraId="69121C65" w14:textId="77777777">
      <w:pPr>
        <w:spacing w:before="120" w:after="120" w:line="276" w:lineRule="auto"/>
        <w:ind w:firstLine="567"/>
        <w:jc w:val="both"/>
        <w:rPr>
          <w:rFonts w:ascii="Courier New" w:hAnsi="Courier New" w:cs="Courier New"/>
          <w:sz w:val="22"/>
          <w:szCs w:val="22"/>
        </w:rPr>
      </w:pPr>
      <w:r w:rsidRPr="00E90409">
        <w:rPr>
          <w:rFonts w:ascii="Courier New" w:hAnsi="Courier New" w:cs="Courier New"/>
          <w:sz w:val="22"/>
          <w:szCs w:val="22"/>
        </w:rPr>
        <w:t xml:space="preserve">No mesmo sentido, o STF, no referendo da </w:t>
      </w:r>
      <w:r w:rsidRPr="00E90409">
        <w:rPr>
          <w:rFonts w:ascii="Courier New" w:hAnsi="Courier New" w:cs="Courier New"/>
          <w:b/>
          <w:bCs/>
          <w:sz w:val="22"/>
          <w:szCs w:val="22"/>
        </w:rPr>
        <w:t>ADI 7697 DF</w:t>
      </w:r>
      <w:r w:rsidRPr="00E90409">
        <w:rPr>
          <w:rFonts w:ascii="Courier New" w:hAnsi="Courier New" w:cs="Courier New"/>
          <w:sz w:val="22"/>
          <w:szCs w:val="22"/>
        </w:rPr>
        <w:t xml:space="preserve">, estabeleceu que a execução de emendas e atos administrativos deve obedecer a critérios técnicos de </w:t>
      </w:r>
      <w:r w:rsidRPr="00E90409">
        <w:rPr>
          <w:rFonts w:ascii="Courier New" w:hAnsi="Courier New" w:cs="Courier New"/>
          <w:b/>
          <w:bCs/>
          <w:sz w:val="22"/>
          <w:szCs w:val="22"/>
        </w:rPr>
        <w:t>rastreabilidade e transparência</w:t>
      </w:r>
      <w:r w:rsidRPr="00E90409">
        <w:rPr>
          <w:rFonts w:ascii="Courier New" w:hAnsi="Courier New" w:cs="Courier New"/>
          <w:sz w:val="22"/>
          <w:szCs w:val="22"/>
        </w:rPr>
        <w:t>, sendo dever da administração agir de modo motivado</w:t>
      </w:r>
      <w:r>
        <w:rPr>
          <w:rFonts w:ascii="Courier New" w:hAnsi="Courier New" w:cs="Courier New"/>
          <w:sz w:val="22"/>
          <w:szCs w:val="22"/>
        </w:rPr>
        <w:t>:</w:t>
      </w:r>
    </w:p>
    <w:p w:rsidR="00E90409" w:rsidP="00E90409" w14:paraId="60215DD9" w14:textId="77777777">
      <w:pPr>
        <w:spacing w:before="120" w:after="120" w:line="276" w:lineRule="auto"/>
        <w:ind w:firstLine="567"/>
        <w:jc w:val="both"/>
        <w:rPr>
          <w:rFonts w:ascii="Courier New" w:hAnsi="Courier New" w:cs="Courier New"/>
          <w:sz w:val="22"/>
          <w:szCs w:val="22"/>
        </w:rPr>
      </w:pPr>
    </w:p>
    <w:p w:rsidR="00E90409" w:rsidRPr="00491493" w:rsidP="00E90409" w14:paraId="4BB263AE" w14:textId="240F3AA6">
      <w:pPr>
        <w:pBdr>
          <w:left w:val="single" w:sz="4" w:space="4" w:color="auto"/>
          <w:right w:val="single" w:sz="4" w:space="4" w:color="auto"/>
        </w:pBdr>
        <w:ind w:left="1701"/>
        <w:jc w:val="both"/>
        <w:rPr>
          <w:rFonts w:ascii="Courier New" w:hAnsi="Courier New" w:cs="Courier New"/>
        </w:rPr>
      </w:pPr>
      <w:r w:rsidRPr="00E90409">
        <w:rPr>
          <w:rFonts w:ascii="Courier New" w:hAnsi="Courier New" w:cs="Courier New"/>
        </w:rPr>
        <w:t xml:space="preserve">EMENTA: REFERENDO DE MEDIDA CAUTELAR PARCIALMENTE CONCEDIDA EM AÇÃO DIRETA DE INCONSTITUCIONALIDADE. CONSTITUCIONAL E FINANCEIRO. DISPOSITIVOS QUE TRATAM DAS EMENDAS PARLAMENTARES AO ORÇAMENTO PÚBLICO. PRESENÇA DOS REQUISITOS AUTORIZADORES DA CONCESSÃO DE MEDIDA CAUTELAR. EXECUÇÃO DE EMENDAS IMPOSITIVAS. NECESSIDADE DE ATENDIMENTO A CRITÉRIOS DE ORDEM TÉCNICA A SEREM VERIFICADOS PELO PODER EXECUTIVO. FUNÇÃO TÍPICA. OBSERVÂNCIA DOS PRINCÍPIOS DA EFICIÊNCIA E DA TRANSPARÊNCIA NA GESTÃO DO ORÇAMENTO PÚBLICO. PROBABILIDADE DO DIREITO. NORMAS ORÇAMENTÁRIAS JÁ EM VIGOR EXPRIMEM UM QUANTITATIVO EXPRESSIVO DE EMENDAS PARLAMENTARES DE EXECUÇÃO IMPOSITIVA. PERIGO DE DANO. DETERMINAÇÃO DE SUSPENSÃO DA EXECUÇÃO DE EMENDAS IMPOSITIVAS ATÉ REGULAMENTAÇÃO DO PROCEDIMENTO DE VERIFICAÇÃO DO ATENDIMENTO DOS CRITÉRIOS DE ORDEM TÉCNICA PREVISTOS NA CONSTITUIÇÃO, NORMAS LEGAIS E REGULAMENTARES. MEDIDA CAUTELAR REFERENDADA. 1. Ação Direta de Inconstitucionalidade proposta em face de dispositivos constitucionais introduzidos pelas Emendas Constitucionais nº 86/2015, nº 100/2019, nº 105/2019 e nº 126/2022, que alteraram substancialmente o regime orçamentário nacional. 2. Legitimidade ativa universal do partido político autor, que conta com representação no Congresso Nacional, na forma do art. 103, VIII, da Constituição Federal. Precedentes. 3. Presença dos requisitos suficientes à parcial concessão da medida cautelar para atribuição de interpretação conforme aos dispositivos impugnados. Probabilidade do direito verificada a partir da necessidade do estabelecimento de procedimento de verificação do atendimento dos critérios de ordem técnica para a execução das emendas </w:t>
      </w:r>
      <w:r w:rsidRPr="00E90409">
        <w:rPr>
          <w:rFonts w:ascii="Courier New" w:hAnsi="Courier New" w:cs="Courier New"/>
        </w:rPr>
        <w:t>impositivas, à luz da Constituição Federal, normas legais e regulamentares. Perigo na demora decorrente do fato de que as normas orçamentárias já em vigor exprimem um expressivo quantitativo de emendas parlamentares de execução impositiva. 4. Não é compatível com a Constituição Federal a execução de emendas ao orçamento que não obedeçam a critérios técnicos de eficiência, transparência e rastreabilidade, de modo que fica impedida qualquer interpretação que confira caráter absoluto à impositividade de emendas parlamentares. 5. É dever do Poder Executivo aferir, de modo motivado e transparente, se as emendas parlamentares estão aptas à execução, conforme requisitos técnicos constantes da Constituição Federal, normas legais e regulamentares. 6. A execução das emendas parlamentares impositivas, quaisquer que sejam as modalidades existentes ou que venham a ser criadas, somente ocorrerá caso atendidos, de modo motivado, os requisitos, extraídos do texto da Constituição Federal e das normas infraconstitucionais aplicáveis, sem prejuízo de outras regras técnicas adicionalmente estabelecidas em níveis legal e infralegal, conforme rol exemplificativo que se segue: a) Existência e apresentação prévia de plano de trabalho, a ser aprovado pela autoridade administrativa competente, verificando a compatibilidade do objeto com a finalidade da ação orçamentária, a consonância do objeto com o programa do órgão executor, a proporcionalidade do valor indicado e do cronograma de execução; b) Compatibilidade com a lei de diretrizes orçamentárias e com o plano plurianual; c) Efetiva entrega de bens e serviços à sociedade, com eficiência, conforme planejamento e demonstração objetiva, implicando um poder-dever da autoridade administrativa acerca da análise de mérito; d) Cumprimento de regras de transparência e rastreabilidade que permitam o controle social do gasto público, com a identificação de origem exata da emenda parlamentar e destino das verbas, da fase inicial de votação até a execução do orçamento; e) Obediência a todos os dispositivos constitucionais e legais que estabeleçam metas fiscais ou limites de despesas. 7. Sustada a execução de emendas impositivas até que os poderes Legislativo e Executivo, em diálogo institucional, regulem os novos procedimentos conforme a presente decisão, sem prejuízo de obras efetivamente já iniciadas e em andamento, conforme atestado pelos órgãos administrativos competentes, ou de ações para atendimento de calamidade pública formalmente declarada e reconhecida. 8. Medida cautelar referendada.</w:t>
      </w:r>
      <w:r>
        <w:rPr>
          <w:rFonts w:ascii="Courier New" w:hAnsi="Courier New" w:cs="Courier New"/>
        </w:rPr>
        <w:t xml:space="preserve"> </w:t>
      </w:r>
      <w:r w:rsidRPr="00E90409">
        <w:rPr>
          <w:rFonts w:ascii="Courier New" w:hAnsi="Courier New" w:cs="Courier New"/>
        </w:rPr>
        <w:t xml:space="preserve">(STF - ADI: 7697 DF, Relator: Min. FLÁVIO DINO, Data de Julgamento: 19/08/2024, Tribunal Pleno, Data de Publicação: PROCESSO ELETRÔNICO </w:t>
      </w:r>
      <w:r w:rsidRPr="00E90409">
        <w:rPr>
          <w:rFonts w:ascii="Courier New" w:hAnsi="Courier New" w:cs="Courier New"/>
        </w:rPr>
        <w:t>DJe</w:t>
      </w:r>
      <w:r w:rsidRPr="00E90409">
        <w:rPr>
          <w:rFonts w:ascii="Courier New" w:hAnsi="Courier New" w:cs="Courier New"/>
        </w:rPr>
        <w:t xml:space="preserve">-s/n </w:t>
      </w:r>
      <w:r w:rsidRPr="00E90409">
        <w:rPr>
          <w:rFonts w:ascii="Courier New" w:hAnsi="Courier New" w:cs="Courier New"/>
        </w:rPr>
        <w:t>DIVULG</w:t>
      </w:r>
      <w:r w:rsidRPr="00E90409">
        <w:rPr>
          <w:rFonts w:ascii="Courier New" w:hAnsi="Courier New" w:cs="Courier New"/>
        </w:rPr>
        <w:t xml:space="preserve"> 15-10-2024 </w:t>
      </w:r>
      <w:r w:rsidRPr="00E90409">
        <w:rPr>
          <w:rFonts w:ascii="Courier New" w:hAnsi="Courier New" w:cs="Courier New"/>
        </w:rPr>
        <w:t>PUBLIC</w:t>
      </w:r>
      <w:r w:rsidRPr="00E90409">
        <w:rPr>
          <w:rFonts w:ascii="Courier New" w:hAnsi="Courier New" w:cs="Courier New"/>
        </w:rPr>
        <w:t xml:space="preserve"> 16-10-2024)</w:t>
      </w:r>
    </w:p>
    <w:p w:rsidR="00E90409" w:rsidP="00E90409" w14:paraId="39871415" w14:textId="77777777">
      <w:pPr>
        <w:spacing w:before="120" w:after="120" w:line="276" w:lineRule="auto"/>
        <w:ind w:firstLine="567"/>
        <w:jc w:val="both"/>
        <w:rPr>
          <w:rFonts w:ascii="Courier New" w:hAnsi="Courier New" w:cs="Courier New"/>
          <w:sz w:val="22"/>
          <w:szCs w:val="22"/>
        </w:rPr>
      </w:pPr>
    </w:p>
    <w:p w:rsidR="00E90409" w:rsidRPr="00E90409" w:rsidP="00E90409" w14:paraId="35F7BF69" w14:textId="7B1A42F1">
      <w:pPr>
        <w:spacing w:before="120" w:after="120" w:line="276" w:lineRule="auto"/>
        <w:ind w:firstLine="567"/>
        <w:jc w:val="both"/>
        <w:rPr>
          <w:rFonts w:ascii="Courier New" w:hAnsi="Courier New" w:cs="Courier New"/>
          <w:sz w:val="22"/>
          <w:szCs w:val="22"/>
        </w:rPr>
      </w:pPr>
      <w:r w:rsidRPr="00E90409">
        <w:rPr>
          <w:rFonts w:ascii="Courier New" w:hAnsi="Courier New" w:cs="Courier New"/>
          <w:sz w:val="22"/>
          <w:szCs w:val="22"/>
        </w:rPr>
        <w:t xml:space="preserve">Por fim, a tese fixada no </w:t>
      </w:r>
      <w:r w:rsidRPr="00E90409">
        <w:rPr>
          <w:rFonts w:ascii="Courier New" w:hAnsi="Courier New" w:cs="Courier New"/>
          <w:b/>
          <w:bCs/>
          <w:sz w:val="22"/>
          <w:szCs w:val="22"/>
        </w:rPr>
        <w:t>Tema 917 da Repercussão Geral (ARE 1563592 RJ)</w:t>
      </w:r>
      <w:r w:rsidRPr="00E90409">
        <w:rPr>
          <w:rFonts w:ascii="Courier New" w:hAnsi="Courier New" w:cs="Courier New"/>
          <w:sz w:val="22"/>
          <w:szCs w:val="22"/>
        </w:rPr>
        <w:t xml:space="preserve"> esclarece que não há vício de iniciativa em leis de origem parlamentar que, embora criem obrigações procedimentais, não alteram a estrutura dos órgãos ou o regime jurídico dos servidores, o que valida integralmente esta proposição que apenas detalha um dever de publicidade já inerente ao cargo.</w:t>
      </w:r>
    </w:p>
    <w:p w:rsidR="00491493" w:rsidP="00D365E5" w14:paraId="5C679A14" w14:textId="77777777">
      <w:pPr>
        <w:spacing w:before="120" w:after="120" w:line="276" w:lineRule="auto"/>
        <w:ind w:firstLine="567"/>
        <w:jc w:val="both"/>
        <w:rPr>
          <w:rFonts w:ascii="Courier New" w:hAnsi="Courier New" w:cs="Courier New"/>
          <w:sz w:val="22"/>
          <w:szCs w:val="22"/>
        </w:rPr>
      </w:pPr>
    </w:p>
    <w:p w:rsidR="00491493" w:rsidP="00E90409" w14:paraId="04DE3612" w14:textId="61133EFA">
      <w:pPr>
        <w:pBdr>
          <w:left w:val="single" w:sz="4" w:space="4" w:color="auto"/>
          <w:right w:val="single" w:sz="4" w:space="4" w:color="auto"/>
        </w:pBdr>
        <w:ind w:left="1701"/>
        <w:jc w:val="both"/>
        <w:rPr>
          <w:rFonts w:ascii="Courier New" w:hAnsi="Courier New" w:cs="Courier New"/>
        </w:rPr>
      </w:pPr>
      <w:r w:rsidRPr="00E90409">
        <w:rPr>
          <w:rFonts w:ascii="Courier New" w:hAnsi="Courier New" w:cs="Courier New"/>
        </w:rPr>
        <w:t xml:space="preserve">EMENTA: AGRAVO INTERNO. RECURSO EXTRAORDINÁRIO COM AGRAVO. TEMA 917. LEI 7.789/2023. RESERVA DE INICIATIVA DO CHEFE DO PODER EXECUTIVO NÃO EXCLUI A ATUAÇÃO PARLAMENTAR EM POLÍTICAS PÚBLICAS. ACÓRDÃO RECORRIDO NÃO ENCONTRA AMPARO NA JURISPRUDÊNCIA DESTA CORTE. AGRAVO INTERNO A QUE SE NEGA PROVIMENTO. 1. O Plenário do SUPREMO TRIBUNAL FEDERAL, no julgamento do ARE 878.911-RG, Tema 917 da Repercussão Geral, firmou tese no sentido de que: “Não usurpa competência privativa do Chefe do Poder Executivo lei que, embora crie despesa para a Administração, não trata da sua estrutura ou da atribuição de seus órgãos nem do regime jurídico de servidores públicos (art. 61, § 1º, II, a, c e </w:t>
      </w:r>
      <w:r w:rsidRPr="00E90409">
        <w:rPr>
          <w:rFonts w:ascii="Courier New" w:hAnsi="Courier New" w:cs="Courier New"/>
        </w:rPr>
        <w:t>e</w:t>
      </w:r>
      <w:r w:rsidRPr="00E90409">
        <w:rPr>
          <w:rFonts w:ascii="Courier New" w:hAnsi="Courier New" w:cs="Courier New"/>
        </w:rPr>
        <w:t>, da Constituição Federal)”. 2. No caso concreto, a Lei 7.789/2023, do Município do Rio de Janeiro, de iniciativa parlamentar, que “dispõe sobre ações que promovam a conscientização, incentivo, cuidado e promoção da saúde mental materna, para atender a Campanha Maio Furta-cor”, não prevê a criação de qualquer estrutura dentro da Administração Municipal, tampouco interfere no regime jurídico de servidores públicos municipais, nem altera a organização e o funcionamento dos órgãos da Administração municipal já existentes. 3. O fato de a norma impor encargos para a Administração Pública não significa que somente poderia ser proposta pelo Prefeito, pois a jurisprudência desta CORTE firmou-se no sentido de que a reserva de iniciativa do Chefe do Poder Executivo não exclui a atuação parlamentar em políticas públicas. 4. O acórdão recorrido divergiu da jurisprudência desta CORTE, devendo, portanto, ser reformado. 5. Agravo interno a que se nega provimento.</w:t>
      </w:r>
      <w:r>
        <w:rPr>
          <w:rFonts w:ascii="Courier New" w:hAnsi="Courier New" w:cs="Courier New"/>
        </w:rPr>
        <w:t xml:space="preserve"> </w:t>
      </w:r>
      <w:r w:rsidRPr="00E90409">
        <w:rPr>
          <w:rFonts w:ascii="Courier New" w:hAnsi="Courier New" w:cs="Courier New"/>
        </w:rPr>
        <w:t xml:space="preserve">(STF - ARE: 00000000000001563592 RJ - RIO DE JANEIRO, Relator: Min. ALEXANDRE DE MORAES, Data de Julgamento: 06/10/2025, Tribunal Pleno, Data de Publicação: PROCESSO ELETRÔNICO </w:t>
      </w:r>
      <w:r w:rsidRPr="00E90409">
        <w:rPr>
          <w:rFonts w:ascii="Courier New" w:hAnsi="Courier New" w:cs="Courier New"/>
        </w:rPr>
        <w:t>DJe</w:t>
      </w:r>
      <w:r w:rsidRPr="00E90409">
        <w:rPr>
          <w:rFonts w:ascii="Courier New" w:hAnsi="Courier New" w:cs="Courier New"/>
        </w:rPr>
        <w:t xml:space="preserve">-s/n </w:t>
      </w:r>
      <w:r w:rsidRPr="00E90409">
        <w:rPr>
          <w:rFonts w:ascii="Courier New" w:hAnsi="Courier New" w:cs="Courier New"/>
        </w:rPr>
        <w:t>DIVULG</w:t>
      </w:r>
      <w:r w:rsidRPr="00E90409">
        <w:rPr>
          <w:rFonts w:ascii="Courier New" w:hAnsi="Courier New" w:cs="Courier New"/>
        </w:rPr>
        <w:t xml:space="preserve"> 13-10-2025 </w:t>
      </w:r>
      <w:r w:rsidRPr="00E90409">
        <w:rPr>
          <w:rFonts w:ascii="Courier New" w:hAnsi="Courier New" w:cs="Courier New"/>
        </w:rPr>
        <w:t>PUBLIC</w:t>
      </w:r>
      <w:r w:rsidRPr="00E90409">
        <w:rPr>
          <w:rFonts w:ascii="Courier New" w:hAnsi="Courier New" w:cs="Courier New"/>
        </w:rPr>
        <w:t xml:space="preserve"> 14-10-2025)</w:t>
      </w:r>
    </w:p>
    <w:p w:rsidR="00744E1D" w:rsidP="00D365E5" w14:paraId="07BC95AD" w14:textId="5BCD1685">
      <w:pPr>
        <w:spacing w:before="120" w:after="120" w:line="276" w:lineRule="auto"/>
        <w:ind w:firstLine="567"/>
        <w:jc w:val="both"/>
        <w:rPr>
          <w:rFonts w:ascii="Courier New" w:hAnsi="Courier New" w:cs="Courier New"/>
          <w:sz w:val="22"/>
          <w:szCs w:val="22"/>
        </w:rPr>
      </w:pPr>
    </w:p>
    <w:p w:rsidR="00E90409" w:rsidP="00E90409" w14:paraId="7882D02D" w14:textId="77777777">
      <w:pPr>
        <w:spacing w:before="120" w:after="120" w:line="276" w:lineRule="auto"/>
        <w:ind w:firstLine="567"/>
        <w:jc w:val="both"/>
        <w:rPr>
          <w:rFonts w:ascii="Courier New" w:hAnsi="Courier New" w:cs="Courier New"/>
          <w:sz w:val="22"/>
          <w:szCs w:val="22"/>
        </w:rPr>
      </w:pPr>
      <w:r w:rsidRPr="00E90409">
        <w:rPr>
          <w:rFonts w:ascii="Courier New" w:hAnsi="Courier New" w:cs="Courier New"/>
          <w:sz w:val="22"/>
          <w:szCs w:val="22"/>
        </w:rPr>
        <w:t xml:space="preserve">No campo doutrinário, a emenda sustenta-se na lição de </w:t>
      </w:r>
      <w:r w:rsidRPr="00E90409">
        <w:rPr>
          <w:rFonts w:ascii="Courier New" w:hAnsi="Courier New" w:cs="Courier New"/>
          <w:b/>
          <w:bCs/>
          <w:sz w:val="22"/>
          <w:szCs w:val="22"/>
        </w:rPr>
        <w:t>Hely Lopes Meirelles</w:t>
      </w:r>
      <w:r w:rsidRPr="00E90409">
        <w:rPr>
          <w:rFonts w:ascii="Courier New" w:hAnsi="Courier New" w:cs="Courier New"/>
          <w:sz w:val="22"/>
          <w:szCs w:val="22"/>
        </w:rPr>
        <w:t xml:space="preserve">, que ensina que o princípio da publicidade é o dever de manter plena transparência dos atos administrativos, permitindo o controle pelo interessado e pela sociedade (MEIRELLES, Hely Lopes. </w:t>
      </w:r>
      <w:r w:rsidRPr="00E90409">
        <w:rPr>
          <w:rFonts w:ascii="Courier New" w:hAnsi="Courier New" w:cs="Courier New"/>
          <w:i/>
          <w:iCs/>
          <w:sz w:val="22"/>
          <w:szCs w:val="22"/>
        </w:rPr>
        <w:t>Direito Administrativo Brasileiro</w:t>
      </w:r>
      <w:r w:rsidRPr="00E90409">
        <w:rPr>
          <w:rFonts w:ascii="Courier New" w:hAnsi="Courier New" w:cs="Courier New"/>
          <w:sz w:val="22"/>
          <w:szCs w:val="22"/>
        </w:rPr>
        <w:t>. 44. ed. São Paulo: Malheiros, 2020).</w:t>
      </w:r>
    </w:p>
    <w:p w:rsidR="00E90409" w:rsidP="00E90409" w14:paraId="17888DF8" w14:textId="77777777">
      <w:pPr>
        <w:spacing w:before="120" w:after="120" w:line="276" w:lineRule="auto"/>
        <w:ind w:firstLine="567"/>
        <w:jc w:val="both"/>
        <w:rPr>
          <w:rFonts w:ascii="Courier New" w:hAnsi="Courier New" w:cs="Courier New"/>
          <w:sz w:val="22"/>
          <w:szCs w:val="22"/>
        </w:rPr>
      </w:pPr>
      <w:r w:rsidRPr="00E90409">
        <w:rPr>
          <w:rFonts w:ascii="Courier New" w:hAnsi="Courier New" w:cs="Courier New"/>
          <w:sz w:val="22"/>
          <w:szCs w:val="22"/>
        </w:rPr>
        <w:t xml:space="preserve">Complementando essa visão, </w:t>
      </w:r>
      <w:r w:rsidRPr="00E90409">
        <w:rPr>
          <w:rFonts w:ascii="Courier New" w:hAnsi="Courier New" w:cs="Courier New"/>
          <w:b/>
          <w:bCs/>
          <w:sz w:val="22"/>
          <w:szCs w:val="22"/>
        </w:rPr>
        <w:t>Maria Sylvia Zanella Di Pietro</w:t>
      </w:r>
      <w:r w:rsidRPr="00E90409">
        <w:rPr>
          <w:rFonts w:ascii="Courier New" w:hAnsi="Courier New" w:cs="Courier New"/>
          <w:sz w:val="22"/>
          <w:szCs w:val="22"/>
        </w:rPr>
        <w:t xml:space="preserve"> destaca que o direito à informação é uma ferramenta de cidadania, sendo obrigação da Administração fornecer dados que permitam ao servidor a defesa de seus direitos patrimoniais (DI PIETRO, Maria Sylvia Zanella. </w:t>
      </w:r>
      <w:r w:rsidRPr="00E90409">
        <w:rPr>
          <w:rFonts w:ascii="Courier New" w:hAnsi="Courier New" w:cs="Courier New"/>
          <w:i/>
          <w:iCs/>
          <w:sz w:val="22"/>
          <w:szCs w:val="22"/>
        </w:rPr>
        <w:t>Direito Administrativo</w:t>
      </w:r>
      <w:r w:rsidRPr="00E90409">
        <w:rPr>
          <w:rFonts w:ascii="Courier New" w:hAnsi="Courier New" w:cs="Courier New"/>
          <w:sz w:val="22"/>
          <w:szCs w:val="22"/>
        </w:rPr>
        <w:t>. 36. ed. Rio de Janeiro: Forense, 2023).</w:t>
      </w:r>
    </w:p>
    <w:p w:rsidR="00E90409" w:rsidRPr="00E90409" w:rsidP="00E90409" w14:paraId="34743271" w14:textId="3FFE3D75">
      <w:pPr>
        <w:spacing w:before="120" w:after="120" w:line="276" w:lineRule="auto"/>
        <w:ind w:firstLine="567"/>
        <w:jc w:val="both"/>
        <w:rPr>
          <w:rFonts w:ascii="Courier New" w:hAnsi="Courier New" w:cs="Courier New"/>
          <w:sz w:val="22"/>
          <w:szCs w:val="22"/>
        </w:rPr>
      </w:pPr>
      <w:r w:rsidRPr="00E90409">
        <w:rPr>
          <w:rFonts w:ascii="Courier New" w:hAnsi="Courier New" w:cs="Courier New"/>
          <w:sz w:val="22"/>
          <w:szCs w:val="22"/>
        </w:rPr>
        <w:t xml:space="preserve">Já </w:t>
      </w:r>
      <w:r w:rsidRPr="00E90409">
        <w:rPr>
          <w:rFonts w:ascii="Courier New" w:hAnsi="Courier New" w:cs="Courier New"/>
          <w:b/>
          <w:bCs/>
          <w:sz w:val="22"/>
          <w:szCs w:val="22"/>
        </w:rPr>
        <w:t>José dos Santos Carvalho Filho</w:t>
      </w:r>
      <w:r w:rsidRPr="00E90409">
        <w:rPr>
          <w:rFonts w:ascii="Courier New" w:hAnsi="Courier New" w:cs="Courier New"/>
          <w:sz w:val="22"/>
          <w:szCs w:val="22"/>
        </w:rPr>
        <w:t xml:space="preserve"> reforça que o poder de emenda parlamentar é legítimo quando mantém a pertinência temática e não cria despesas novas e desordenadas, servindo como instrumento de aperfeiçoamento da lei (CARVALHO FILHO, José dos Santos. </w:t>
      </w:r>
      <w:r w:rsidRPr="00E90409">
        <w:rPr>
          <w:rFonts w:ascii="Courier New" w:hAnsi="Courier New" w:cs="Courier New"/>
          <w:i/>
          <w:iCs/>
          <w:sz w:val="22"/>
          <w:szCs w:val="22"/>
        </w:rPr>
        <w:t>Manual de Direito Administrativo</w:t>
      </w:r>
      <w:r w:rsidRPr="00E90409">
        <w:rPr>
          <w:rFonts w:ascii="Courier New" w:hAnsi="Courier New" w:cs="Courier New"/>
          <w:sz w:val="22"/>
          <w:szCs w:val="22"/>
        </w:rPr>
        <w:t>. 37. ed. São Paulo: Atlas, 2023).</w:t>
      </w:r>
    </w:p>
    <w:p w:rsidR="00E90409" w:rsidRPr="00E90409" w:rsidP="00E90409" w14:paraId="330BDC5F" w14:textId="14D95087">
      <w:pPr>
        <w:spacing w:before="120" w:after="120" w:line="276" w:lineRule="auto"/>
        <w:ind w:firstLine="567"/>
        <w:jc w:val="both"/>
        <w:rPr>
          <w:rFonts w:ascii="Courier New" w:hAnsi="Courier New" w:cs="Courier New"/>
          <w:sz w:val="22"/>
          <w:szCs w:val="22"/>
        </w:rPr>
      </w:pPr>
      <w:r w:rsidRPr="00E90409">
        <w:rPr>
          <w:rFonts w:ascii="Courier New" w:hAnsi="Courier New" w:cs="Courier New"/>
          <w:sz w:val="22"/>
          <w:szCs w:val="22"/>
        </w:rPr>
        <w:t xml:space="preserve">A fundamentação jurídica desta emenda repousa sobre princípios nacionais e internacionais de envergadura. No plano interno, invocam-se os princípios da </w:t>
      </w:r>
      <w:r w:rsidRPr="00E90409">
        <w:rPr>
          <w:rFonts w:ascii="Courier New" w:hAnsi="Courier New" w:cs="Courier New"/>
          <w:b/>
          <w:bCs/>
          <w:sz w:val="22"/>
          <w:szCs w:val="22"/>
        </w:rPr>
        <w:t>Publicidade, Eficiência e Moralidade</w:t>
      </w:r>
      <w:r w:rsidRPr="00E90409">
        <w:rPr>
          <w:rFonts w:ascii="Courier New" w:hAnsi="Courier New" w:cs="Courier New"/>
          <w:sz w:val="22"/>
          <w:szCs w:val="22"/>
        </w:rPr>
        <w:t xml:space="preserve">, insculpidos no </w:t>
      </w:r>
      <w:r w:rsidRPr="00E90409">
        <w:rPr>
          <w:rFonts w:ascii="Courier New" w:hAnsi="Courier New" w:cs="Courier New"/>
          <w:b/>
          <w:bCs/>
          <w:sz w:val="22"/>
          <w:szCs w:val="22"/>
        </w:rPr>
        <w:t>Art. 37, caput, da Constituição Federal</w:t>
      </w:r>
      <w:r w:rsidRPr="00E90409">
        <w:rPr>
          <w:rFonts w:ascii="Courier New" w:hAnsi="Courier New" w:cs="Courier New"/>
          <w:sz w:val="22"/>
          <w:szCs w:val="22"/>
        </w:rPr>
        <w:t xml:space="preserve"> Internacionalmente, a </w:t>
      </w:r>
      <w:r w:rsidRPr="00E90409">
        <w:rPr>
          <w:rFonts w:ascii="Courier New" w:hAnsi="Courier New" w:cs="Courier New"/>
          <w:sz w:val="22"/>
          <w:szCs w:val="22"/>
        </w:rPr>
        <w:t xml:space="preserve">emenda alinha-se ao </w:t>
      </w:r>
      <w:r w:rsidRPr="00E90409">
        <w:rPr>
          <w:rFonts w:ascii="Courier New" w:hAnsi="Courier New" w:cs="Courier New"/>
          <w:b/>
          <w:bCs/>
          <w:sz w:val="22"/>
          <w:szCs w:val="22"/>
        </w:rPr>
        <w:t>Artigo 19 da Declaração Universal dos Direitos Humanos</w:t>
      </w:r>
      <w:r w:rsidRPr="00E90409">
        <w:rPr>
          <w:rFonts w:ascii="Courier New" w:hAnsi="Courier New" w:cs="Courier New"/>
          <w:sz w:val="22"/>
          <w:szCs w:val="22"/>
        </w:rPr>
        <w:t xml:space="preserve">, que protege o direito de "procurar, receber e transmitir informações", fundamento do Estado Democrático de Direito. O "letramento de lei" que sustenta esta modificação inclui o </w:t>
      </w:r>
      <w:r w:rsidRPr="00E90409">
        <w:rPr>
          <w:rFonts w:ascii="Courier New" w:hAnsi="Courier New" w:cs="Courier New"/>
          <w:b/>
          <w:bCs/>
          <w:sz w:val="22"/>
          <w:szCs w:val="22"/>
        </w:rPr>
        <w:t xml:space="preserve">Art. 5º, inciso </w:t>
      </w:r>
      <w:r w:rsidRPr="00E90409">
        <w:rPr>
          <w:rFonts w:ascii="Courier New" w:hAnsi="Courier New" w:cs="Courier New"/>
          <w:b/>
          <w:bCs/>
          <w:sz w:val="22"/>
          <w:szCs w:val="22"/>
        </w:rPr>
        <w:t>XXXIII</w:t>
      </w:r>
      <w:r w:rsidRPr="00E90409">
        <w:rPr>
          <w:rFonts w:ascii="Courier New" w:hAnsi="Courier New" w:cs="Courier New"/>
          <w:b/>
          <w:bCs/>
          <w:sz w:val="22"/>
          <w:szCs w:val="22"/>
        </w:rPr>
        <w:t>, da CF</w:t>
      </w:r>
      <w:r w:rsidRPr="00E90409">
        <w:rPr>
          <w:rFonts w:ascii="Courier New" w:hAnsi="Courier New" w:cs="Courier New"/>
          <w:sz w:val="22"/>
          <w:szCs w:val="22"/>
        </w:rPr>
        <w:t xml:space="preserve">, que garante o recebimento de informações de interesse particular, e o </w:t>
      </w:r>
      <w:r w:rsidRPr="00E90409">
        <w:rPr>
          <w:rFonts w:ascii="Courier New" w:hAnsi="Courier New" w:cs="Courier New"/>
          <w:b/>
          <w:bCs/>
          <w:sz w:val="22"/>
          <w:szCs w:val="22"/>
        </w:rPr>
        <w:t>Art. 8º da Lei de Acesso à Informação (Lei nº 12.527/2011)</w:t>
      </w:r>
      <w:r w:rsidRPr="00E90409">
        <w:rPr>
          <w:rFonts w:ascii="Courier New" w:hAnsi="Courier New" w:cs="Courier New"/>
          <w:sz w:val="22"/>
          <w:szCs w:val="22"/>
        </w:rPr>
        <w:t>, que impõe o dever de divulgação de informações de interesse geral independentemente de requerimento.</w:t>
      </w:r>
    </w:p>
    <w:p w:rsidR="00491493" w:rsidP="00D365E5" w14:paraId="7EB21F3D" w14:textId="308316DE">
      <w:pPr>
        <w:spacing w:before="120" w:after="120" w:line="276" w:lineRule="auto"/>
        <w:ind w:firstLine="567"/>
        <w:jc w:val="both"/>
        <w:rPr>
          <w:rFonts w:ascii="Courier New" w:hAnsi="Courier New" w:cs="Courier New"/>
          <w:sz w:val="22"/>
          <w:szCs w:val="22"/>
        </w:rPr>
      </w:pPr>
      <w:r w:rsidRPr="00E90409">
        <w:rPr>
          <w:rFonts w:ascii="Courier New" w:hAnsi="Courier New" w:cs="Courier New"/>
          <w:sz w:val="22"/>
          <w:szCs w:val="22"/>
        </w:rPr>
        <w:t xml:space="preserve">Para encerrar, a aplicação prática desta emenda pode ser sintetizada por brocardos latinos que regem a justiça administrativa. Primeiro, </w:t>
      </w:r>
      <w:r w:rsidRPr="00E90409">
        <w:rPr>
          <w:rFonts w:ascii="Courier New" w:hAnsi="Courier New" w:cs="Courier New"/>
          <w:b/>
          <w:bCs/>
          <w:i/>
          <w:iCs/>
          <w:sz w:val="22"/>
          <w:szCs w:val="22"/>
        </w:rPr>
        <w:t xml:space="preserve">Ad </w:t>
      </w:r>
      <w:r w:rsidRPr="00E90409">
        <w:rPr>
          <w:rFonts w:ascii="Courier New" w:hAnsi="Courier New" w:cs="Courier New"/>
          <w:b/>
          <w:bCs/>
          <w:i/>
          <w:iCs/>
          <w:sz w:val="22"/>
          <w:szCs w:val="22"/>
        </w:rPr>
        <w:t>impossibilia</w:t>
      </w:r>
      <w:r w:rsidRPr="00E90409">
        <w:rPr>
          <w:rFonts w:ascii="Courier New" w:hAnsi="Courier New" w:cs="Courier New"/>
          <w:b/>
          <w:bCs/>
          <w:i/>
          <w:iCs/>
          <w:sz w:val="22"/>
          <w:szCs w:val="22"/>
        </w:rPr>
        <w:t xml:space="preserve"> </w:t>
      </w:r>
      <w:r w:rsidRPr="00E90409">
        <w:rPr>
          <w:rFonts w:ascii="Courier New" w:hAnsi="Courier New" w:cs="Courier New"/>
          <w:b/>
          <w:bCs/>
          <w:i/>
          <w:iCs/>
          <w:sz w:val="22"/>
          <w:szCs w:val="22"/>
        </w:rPr>
        <w:t>nemo</w:t>
      </w:r>
      <w:r w:rsidRPr="00E90409">
        <w:rPr>
          <w:rFonts w:ascii="Courier New" w:hAnsi="Courier New" w:cs="Courier New"/>
          <w:b/>
          <w:bCs/>
          <w:i/>
          <w:iCs/>
          <w:sz w:val="22"/>
          <w:szCs w:val="22"/>
        </w:rPr>
        <w:t xml:space="preserve"> </w:t>
      </w:r>
      <w:r w:rsidRPr="00E90409">
        <w:rPr>
          <w:rFonts w:ascii="Courier New" w:hAnsi="Courier New" w:cs="Courier New"/>
          <w:b/>
          <w:bCs/>
          <w:i/>
          <w:iCs/>
          <w:sz w:val="22"/>
          <w:szCs w:val="22"/>
        </w:rPr>
        <w:t>tenetur</w:t>
      </w:r>
      <w:r w:rsidRPr="00E90409">
        <w:rPr>
          <w:rFonts w:ascii="Courier New" w:hAnsi="Courier New" w:cs="Courier New"/>
          <w:sz w:val="22"/>
          <w:szCs w:val="22"/>
        </w:rPr>
        <w:t xml:space="preserve"> ("Ninguém é obrigado a fazer o impossível"), o que justifica que a Administração forneça os dados, pois o servidor não pode conferir o que lhe é ocultado. </w:t>
      </w:r>
      <w:r w:rsidRPr="00E90409">
        <w:rPr>
          <w:rFonts w:ascii="Courier New" w:hAnsi="Courier New" w:cs="Courier New"/>
          <w:sz w:val="22"/>
          <w:szCs w:val="22"/>
        </w:rPr>
        <w:t xml:space="preserve">Segundo, </w:t>
      </w:r>
      <w:r w:rsidRPr="00E90409">
        <w:rPr>
          <w:rFonts w:ascii="Courier New" w:hAnsi="Courier New" w:cs="Courier New"/>
          <w:b/>
          <w:bCs/>
          <w:i/>
          <w:iCs/>
          <w:sz w:val="22"/>
          <w:szCs w:val="22"/>
        </w:rPr>
        <w:t>Publicum</w:t>
      </w:r>
      <w:r w:rsidRPr="00E90409">
        <w:rPr>
          <w:rFonts w:ascii="Courier New" w:hAnsi="Courier New" w:cs="Courier New"/>
          <w:b/>
          <w:bCs/>
          <w:i/>
          <w:iCs/>
          <w:sz w:val="22"/>
          <w:szCs w:val="22"/>
        </w:rPr>
        <w:t xml:space="preserve"> </w:t>
      </w:r>
      <w:r w:rsidRPr="00E90409">
        <w:rPr>
          <w:rFonts w:ascii="Courier New" w:hAnsi="Courier New" w:cs="Courier New"/>
          <w:b/>
          <w:bCs/>
          <w:i/>
          <w:iCs/>
          <w:sz w:val="22"/>
          <w:szCs w:val="22"/>
        </w:rPr>
        <w:t>bonum</w:t>
      </w:r>
      <w:r w:rsidRPr="00E90409">
        <w:rPr>
          <w:rFonts w:ascii="Courier New" w:hAnsi="Courier New" w:cs="Courier New"/>
          <w:b/>
          <w:bCs/>
          <w:i/>
          <w:iCs/>
          <w:sz w:val="22"/>
          <w:szCs w:val="22"/>
        </w:rPr>
        <w:t xml:space="preserve"> </w:t>
      </w:r>
      <w:r w:rsidRPr="00E90409">
        <w:rPr>
          <w:rFonts w:ascii="Courier New" w:hAnsi="Courier New" w:cs="Courier New"/>
          <w:b/>
          <w:bCs/>
          <w:i/>
          <w:iCs/>
          <w:sz w:val="22"/>
          <w:szCs w:val="22"/>
        </w:rPr>
        <w:t>privato</w:t>
      </w:r>
      <w:r w:rsidRPr="00E90409">
        <w:rPr>
          <w:rFonts w:ascii="Courier New" w:hAnsi="Courier New" w:cs="Courier New"/>
          <w:b/>
          <w:bCs/>
          <w:i/>
          <w:iCs/>
          <w:sz w:val="22"/>
          <w:szCs w:val="22"/>
        </w:rPr>
        <w:t xml:space="preserve"> est </w:t>
      </w:r>
      <w:r w:rsidRPr="00E90409">
        <w:rPr>
          <w:rFonts w:ascii="Courier New" w:hAnsi="Courier New" w:cs="Courier New"/>
          <w:b/>
          <w:bCs/>
          <w:i/>
          <w:iCs/>
          <w:sz w:val="22"/>
          <w:szCs w:val="22"/>
        </w:rPr>
        <w:t>praeferendum</w:t>
      </w:r>
      <w:r w:rsidRPr="00E90409">
        <w:rPr>
          <w:rFonts w:ascii="Courier New" w:hAnsi="Courier New" w:cs="Courier New"/>
          <w:sz w:val="22"/>
          <w:szCs w:val="22"/>
        </w:rPr>
        <w:t xml:space="preserve"> ("O bem público deve preferir-se ao privado"), pois a transparência nos gastos com pessoal é um interesse de toda a coletividade. Por fim, </w:t>
      </w:r>
      <w:r w:rsidRPr="00E90409">
        <w:rPr>
          <w:rFonts w:ascii="Courier New" w:hAnsi="Courier New" w:cs="Courier New"/>
          <w:b/>
          <w:bCs/>
          <w:i/>
          <w:iCs/>
          <w:sz w:val="22"/>
          <w:szCs w:val="22"/>
        </w:rPr>
        <w:t>Ubi</w:t>
      </w:r>
      <w:r w:rsidRPr="00E90409">
        <w:rPr>
          <w:rFonts w:ascii="Courier New" w:hAnsi="Courier New" w:cs="Courier New"/>
          <w:b/>
          <w:bCs/>
          <w:i/>
          <w:iCs/>
          <w:sz w:val="22"/>
          <w:szCs w:val="22"/>
        </w:rPr>
        <w:t xml:space="preserve"> </w:t>
      </w:r>
      <w:r w:rsidRPr="00E90409">
        <w:rPr>
          <w:rFonts w:ascii="Courier New" w:hAnsi="Courier New" w:cs="Courier New"/>
          <w:b/>
          <w:bCs/>
          <w:i/>
          <w:iCs/>
          <w:sz w:val="22"/>
          <w:szCs w:val="22"/>
        </w:rPr>
        <w:t>eadem</w:t>
      </w:r>
      <w:r w:rsidRPr="00E90409">
        <w:rPr>
          <w:rFonts w:ascii="Courier New" w:hAnsi="Courier New" w:cs="Courier New"/>
          <w:b/>
          <w:bCs/>
          <w:i/>
          <w:iCs/>
          <w:sz w:val="22"/>
          <w:szCs w:val="22"/>
        </w:rPr>
        <w:t xml:space="preserve"> </w:t>
      </w:r>
      <w:r w:rsidRPr="00E90409">
        <w:rPr>
          <w:rFonts w:ascii="Courier New" w:hAnsi="Courier New" w:cs="Courier New"/>
          <w:b/>
          <w:bCs/>
          <w:i/>
          <w:iCs/>
          <w:sz w:val="22"/>
          <w:szCs w:val="22"/>
        </w:rPr>
        <w:t>ratio</w:t>
      </w:r>
      <w:r w:rsidRPr="00E90409">
        <w:rPr>
          <w:rFonts w:ascii="Courier New" w:hAnsi="Courier New" w:cs="Courier New"/>
          <w:b/>
          <w:bCs/>
          <w:i/>
          <w:iCs/>
          <w:sz w:val="22"/>
          <w:szCs w:val="22"/>
        </w:rPr>
        <w:t xml:space="preserve">, </w:t>
      </w:r>
      <w:r w:rsidRPr="00E90409">
        <w:rPr>
          <w:rFonts w:ascii="Courier New" w:hAnsi="Courier New" w:cs="Courier New"/>
          <w:b/>
          <w:bCs/>
          <w:i/>
          <w:iCs/>
          <w:sz w:val="22"/>
          <w:szCs w:val="22"/>
        </w:rPr>
        <w:t>ibi</w:t>
      </w:r>
      <w:r w:rsidRPr="00E90409">
        <w:rPr>
          <w:rFonts w:ascii="Courier New" w:hAnsi="Courier New" w:cs="Courier New"/>
          <w:b/>
          <w:bCs/>
          <w:i/>
          <w:iCs/>
          <w:sz w:val="22"/>
          <w:szCs w:val="22"/>
        </w:rPr>
        <w:t xml:space="preserve"> </w:t>
      </w:r>
      <w:r w:rsidRPr="00E90409">
        <w:rPr>
          <w:rFonts w:ascii="Courier New" w:hAnsi="Courier New" w:cs="Courier New"/>
          <w:b/>
          <w:bCs/>
          <w:i/>
          <w:iCs/>
          <w:sz w:val="22"/>
          <w:szCs w:val="22"/>
        </w:rPr>
        <w:t>eadem</w:t>
      </w:r>
      <w:r w:rsidRPr="00E90409">
        <w:rPr>
          <w:rFonts w:ascii="Courier New" w:hAnsi="Courier New" w:cs="Courier New"/>
          <w:b/>
          <w:bCs/>
          <w:i/>
          <w:iCs/>
          <w:sz w:val="22"/>
          <w:szCs w:val="22"/>
        </w:rPr>
        <w:t xml:space="preserve"> legis </w:t>
      </w:r>
      <w:r w:rsidRPr="00E90409">
        <w:rPr>
          <w:rFonts w:ascii="Courier New" w:hAnsi="Courier New" w:cs="Courier New"/>
          <w:b/>
          <w:bCs/>
          <w:i/>
          <w:iCs/>
          <w:sz w:val="22"/>
          <w:szCs w:val="22"/>
        </w:rPr>
        <w:t>dispositio</w:t>
      </w:r>
      <w:r w:rsidRPr="00E90409">
        <w:rPr>
          <w:rFonts w:ascii="Courier New" w:hAnsi="Courier New" w:cs="Courier New"/>
          <w:sz w:val="22"/>
          <w:szCs w:val="22"/>
        </w:rPr>
        <w:t xml:space="preserve"> ("Onde existe a mesma razão, deve prevalecer a mesma disposição legal"), significando que, se a lei reconhece o direito ao tempo de serviço, deve obrigatoriamente fornecer os meios (cálculos) para que esse direito seja efetivado.</w:t>
      </w:r>
    </w:p>
    <w:sectPr w:rsidSect="00AE21BC">
      <w:headerReference w:type="default" r:id="rId6"/>
      <w:footerReference w:type="default" r:id="rId7"/>
      <w:pgSz w:w="11906" w:h="16838" w:code="9"/>
      <w:pgMar w:top="1985" w:right="1134" w:bottom="851" w:left="1701" w:header="680" w:footer="284"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Courier New" w:hAnsi="Courier New" w:cs="Courier New"/>
        <w:color w:val="171717" w:themeColor="background2" w:themeShade="1A"/>
        <w:sz w:val="18"/>
        <w:szCs w:val="18"/>
      </w:rPr>
      <w:id w:val="-1695989768"/>
      <w:docPartObj>
        <w:docPartGallery w:val="Page Numbers (Bottom of Page)"/>
        <w:docPartUnique/>
      </w:docPartObj>
    </w:sdtPr>
    <w:sdtContent>
      <w:sdt>
        <w:sdtPr>
          <w:rPr>
            <w:rFonts w:ascii="Courier New" w:hAnsi="Courier New" w:cs="Courier New"/>
            <w:color w:val="171717" w:themeColor="background2" w:themeShade="1A"/>
            <w:sz w:val="18"/>
            <w:szCs w:val="18"/>
          </w:rPr>
          <w:id w:val="-1769616900"/>
          <w:docPartObj>
            <w:docPartGallery w:val="Page Numbers (Top of Page)"/>
            <w:docPartUnique/>
          </w:docPartObj>
        </w:sdtPr>
        <w:sdtContent>
          <w:p w:rsidR="00AE21BC" w:rsidRPr="00AE21BC" w:rsidP="00962D1C" w14:paraId="40B3ED97" w14:textId="7D51268C">
            <w:pPr>
              <w:pStyle w:val="Footer"/>
              <w:jc w:val="right"/>
              <w:rPr>
                <w:rFonts w:ascii="Courier New" w:hAnsi="Courier New" w:cs="Courier New"/>
                <w:color w:val="171717" w:themeColor="background2" w:themeShade="1A"/>
                <w:sz w:val="10"/>
                <w:szCs w:val="10"/>
              </w:rPr>
            </w:pPr>
          </w:p>
          <w:p w:rsidR="00245209" w:rsidRPr="00962D1C" w:rsidP="00962D1C" w14:paraId="6F3CD22F" w14:textId="25C2E410">
            <w:pPr>
              <w:pStyle w:val="Footer"/>
              <w:jc w:val="right"/>
              <w:rPr>
                <w:rFonts w:ascii="Courier New" w:hAnsi="Courier New" w:cs="Courier New"/>
                <w:b/>
                <w:bCs/>
                <w:color w:val="171717" w:themeColor="background2" w:themeShade="1A"/>
                <w:sz w:val="18"/>
                <w:szCs w:val="18"/>
              </w:rPr>
            </w:pPr>
            <w:r w:rsidRPr="00962D1C">
              <w:rPr>
                <w:rFonts w:ascii="Courier New" w:hAnsi="Courier New" w:cs="Courier New"/>
                <w:color w:val="171717" w:themeColor="background2" w:themeShade="1A"/>
                <w:sz w:val="18"/>
                <w:szCs w:val="18"/>
              </w:rPr>
              <w:t xml:space="preserve">Página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PAGE</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6</w:t>
            </w:r>
            <w:r w:rsidRPr="00962D1C">
              <w:rPr>
                <w:rFonts w:ascii="Courier New" w:hAnsi="Courier New" w:cs="Courier New"/>
                <w:b/>
                <w:bCs/>
                <w:color w:val="171717" w:themeColor="background2" w:themeShade="1A"/>
                <w:sz w:val="18"/>
                <w:szCs w:val="18"/>
              </w:rPr>
              <w:fldChar w:fldCharType="end"/>
            </w:r>
            <w:r w:rsidRPr="00962D1C">
              <w:rPr>
                <w:rFonts w:ascii="Courier New" w:hAnsi="Courier New" w:cs="Courier New"/>
                <w:color w:val="171717" w:themeColor="background2" w:themeShade="1A"/>
                <w:sz w:val="18"/>
                <w:szCs w:val="18"/>
              </w:rPr>
              <w:t xml:space="preserve"> de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NUMPAGES</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6</w:t>
            </w:r>
            <w:r w:rsidRPr="00962D1C">
              <w:rPr>
                <w:rFonts w:ascii="Courier New" w:hAnsi="Courier New" w:cs="Courier New"/>
                <w:b/>
                <w:bCs/>
                <w:color w:val="171717" w:themeColor="background2" w:themeShade="1A"/>
                <w:sz w:val="18"/>
                <w:szCs w:val="18"/>
              </w:rPr>
              <w:fldChar w:fldCharType="end"/>
            </w:r>
          </w:p>
        </w:sdtContent>
      </w:sdt>
    </w:sdtContent>
  </w:sdt>
  <w:p w:rsidR="007E3DC3" w:rsidRPr="00962D1C" w:rsidP="007E3DC3" w14:paraId="3F9E1FE5" w14:textId="77777777">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Rua Dr. Jose Alves, nº 129, centro, Mogi Mirim/SP</w:t>
    </w:r>
  </w:p>
  <w:p w:rsidR="007E3DC3" w:rsidRPr="00962D1C" w:rsidP="007E3DC3" w14:paraId="26C4E298" w14:textId="50923267">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Fone (019) 3814.1200 – Fax: (019) 3814.1224.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38BB" w:rsidRPr="007256BA" w:rsidP="007F648B" w14:paraId="50644342" w14:textId="77777777">
    <w:pPr>
      <w:pStyle w:val="Header"/>
      <w:tabs>
        <w:tab w:val="clear" w:pos="4419"/>
        <w:tab w:val="clear" w:pos="8838"/>
      </w:tabs>
      <w:ind w:left="2268"/>
      <w:jc w:val="center"/>
      <w:rPr>
        <w:rFonts w:ascii="Courier New" w:hAnsi="Courier New" w:cs="Courier New"/>
        <w:b/>
        <w:sz w:val="34"/>
      </w:rPr>
    </w:pPr>
    <w:r w:rsidRPr="007256BA">
      <w:rPr>
        <w:rFonts w:ascii="Courier New" w:hAnsi="Courier New" w:cs="Courier New"/>
        <w:noProof/>
        <w:lang w:eastAsia="pt-BR"/>
      </w:rPr>
      <w:drawing>
        <wp:anchor distT="0" distB="0" distL="114300" distR="114300" simplePos="0" relativeHeight="251658240" behindDoc="0" locked="0" layoutInCell="1" allowOverlap="1">
          <wp:simplePos x="0" y="0"/>
          <wp:positionH relativeFrom="column">
            <wp:posOffset>76790</wp:posOffset>
          </wp:positionH>
          <wp:positionV relativeFrom="paragraph">
            <wp:posOffset>-240609</wp:posOffset>
          </wp:positionV>
          <wp:extent cx="1211720" cy="882061"/>
          <wp:effectExtent l="0" t="0" r="7620" b="0"/>
          <wp:wrapNone/>
          <wp:docPr id="1255320224" name="Imagem 1255320224"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403093"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1720" cy="8820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56BA">
      <w:rPr>
        <w:rFonts w:ascii="Courier New" w:hAnsi="Courier New" w:cs="Courier New"/>
        <w:b/>
        <w:sz w:val="34"/>
      </w:rPr>
      <w:t>CÂMARA MUNICIPAL DE MOGI MIRIM</w:t>
    </w:r>
  </w:p>
  <w:p w:rsidR="00B638BB" w:rsidRPr="0057381F" w:rsidP="007F648B" w14:paraId="31751651" w14:textId="77777777">
    <w:pPr>
      <w:pStyle w:val="Header"/>
      <w:tabs>
        <w:tab w:val="clear" w:pos="4419"/>
      </w:tabs>
      <w:ind w:left="2268"/>
      <w:jc w:val="center"/>
      <w:rPr>
        <w:rFonts w:ascii="Courier New" w:hAnsi="Courier New" w:cs="Courier New"/>
        <w:sz w:val="32"/>
        <w:szCs w:val="32"/>
      </w:rPr>
    </w:pPr>
    <w:r w:rsidRPr="0057381F">
      <w:rPr>
        <w:rFonts w:ascii="Courier New" w:hAnsi="Courier New" w:cs="Courier New"/>
        <w:b/>
        <w:bCs/>
        <w:sz w:val="28"/>
        <w:szCs w:val="28"/>
      </w:rPr>
      <w:t>GABINETE DO VEREADOR ERNANI GRAGNANELLO</w:t>
    </w:r>
  </w:p>
  <w:p w:rsidR="00D878CD" w:rsidRPr="00B638BB" w:rsidP="00B638BB" w14:paraId="1A742442" w14:textId="6FACB9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573283"/>
    <w:multiLevelType w:val="multilevel"/>
    <w:tmpl w:val="6F78DBB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DA31EB"/>
    <w:multiLevelType w:val="hybridMultilevel"/>
    <w:tmpl w:val="9BFED688"/>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nsid w:val="49A92889"/>
    <w:multiLevelType w:val="hybridMultilevel"/>
    <w:tmpl w:val="2176295C"/>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F04131F"/>
    <w:multiLevelType w:val="hybridMultilevel"/>
    <w:tmpl w:val="68E0CD8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4">
    <w:nsid w:val="548672C1"/>
    <w:multiLevelType w:val="multilevel"/>
    <w:tmpl w:val="597E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3A132C"/>
    <w:multiLevelType w:val="hybridMultilevel"/>
    <w:tmpl w:val="51708C4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6">
    <w:nsid w:val="65F1287A"/>
    <w:multiLevelType w:val="multilevel"/>
    <w:tmpl w:val="0CEA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556B7F"/>
    <w:multiLevelType w:val="hybridMultilevel"/>
    <w:tmpl w:val="5B3C921A"/>
    <w:lvl w:ilvl="0">
      <w:start w:val="1"/>
      <w:numFmt w:val="decimal"/>
      <w:lvlText w:val="%1)"/>
      <w:lvlJc w:val="left"/>
      <w:pPr>
        <w:ind w:left="1428" w:hanging="360"/>
      </w:pPr>
      <w:rPr>
        <w:b/>
        <w:bCs/>
      </w:r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8">
    <w:nsid w:val="7D3B0B77"/>
    <w:multiLevelType w:val="multilevel"/>
    <w:tmpl w:val="0C78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6C6EE3"/>
    <w:multiLevelType w:val="hybridMultilevel"/>
    <w:tmpl w:val="8CCABB6C"/>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8"/>
  </w:num>
  <w:num w:numId="2">
    <w:abstractNumId w:val="9"/>
  </w:num>
  <w:num w:numId="3">
    <w:abstractNumId w:val="6"/>
  </w:num>
  <w:num w:numId="4">
    <w:abstractNumId w:val="4"/>
  </w:num>
  <w:num w:numId="5">
    <w:abstractNumId w:val="0"/>
  </w:num>
  <w:num w:numId="6">
    <w:abstractNumId w:val="7"/>
  </w:num>
  <w:num w:numId="7">
    <w:abstractNumId w:val="3"/>
  </w:num>
  <w:num w:numId="8">
    <w:abstractNumId w:val="5"/>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CD"/>
    <w:rsid w:val="00010A9F"/>
    <w:rsid w:val="000155A8"/>
    <w:rsid w:val="00031FEB"/>
    <w:rsid w:val="00037523"/>
    <w:rsid w:val="000401AF"/>
    <w:rsid w:val="00040D21"/>
    <w:rsid w:val="000428DB"/>
    <w:rsid w:val="00043256"/>
    <w:rsid w:val="00056D9C"/>
    <w:rsid w:val="00066D52"/>
    <w:rsid w:val="00076553"/>
    <w:rsid w:val="0008637B"/>
    <w:rsid w:val="000B4EDA"/>
    <w:rsid w:val="000B5735"/>
    <w:rsid w:val="000D4177"/>
    <w:rsid w:val="000E1F8A"/>
    <w:rsid w:val="000E658D"/>
    <w:rsid w:val="000F672F"/>
    <w:rsid w:val="00105020"/>
    <w:rsid w:val="00106142"/>
    <w:rsid w:val="00124163"/>
    <w:rsid w:val="001277C1"/>
    <w:rsid w:val="00153665"/>
    <w:rsid w:val="00156CD3"/>
    <w:rsid w:val="00156E23"/>
    <w:rsid w:val="001604C3"/>
    <w:rsid w:val="001610A9"/>
    <w:rsid w:val="001634D3"/>
    <w:rsid w:val="00165F25"/>
    <w:rsid w:val="00176E7E"/>
    <w:rsid w:val="00182771"/>
    <w:rsid w:val="00183AF0"/>
    <w:rsid w:val="001949B0"/>
    <w:rsid w:val="001959EF"/>
    <w:rsid w:val="001A39DE"/>
    <w:rsid w:val="001B42BA"/>
    <w:rsid w:val="001B4DF9"/>
    <w:rsid w:val="001C3AA6"/>
    <w:rsid w:val="001C5FCD"/>
    <w:rsid w:val="001D21A6"/>
    <w:rsid w:val="001F2270"/>
    <w:rsid w:val="00200F1C"/>
    <w:rsid w:val="00241452"/>
    <w:rsid w:val="0024425A"/>
    <w:rsid w:val="00245209"/>
    <w:rsid w:val="00257241"/>
    <w:rsid w:val="0027575E"/>
    <w:rsid w:val="002859C6"/>
    <w:rsid w:val="00296637"/>
    <w:rsid w:val="00296EA6"/>
    <w:rsid w:val="002B572E"/>
    <w:rsid w:val="002C14C0"/>
    <w:rsid w:val="002C423A"/>
    <w:rsid w:val="002C4498"/>
    <w:rsid w:val="002C6AAE"/>
    <w:rsid w:val="002D25FF"/>
    <w:rsid w:val="002D2C82"/>
    <w:rsid w:val="002D68CE"/>
    <w:rsid w:val="002D704B"/>
    <w:rsid w:val="002F169E"/>
    <w:rsid w:val="002F76C7"/>
    <w:rsid w:val="00307AFD"/>
    <w:rsid w:val="00320D4D"/>
    <w:rsid w:val="003226F4"/>
    <w:rsid w:val="00327030"/>
    <w:rsid w:val="003274BA"/>
    <w:rsid w:val="00332D04"/>
    <w:rsid w:val="00345B10"/>
    <w:rsid w:val="0035352F"/>
    <w:rsid w:val="0035370A"/>
    <w:rsid w:val="00355277"/>
    <w:rsid w:val="00374AF7"/>
    <w:rsid w:val="00377039"/>
    <w:rsid w:val="00386202"/>
    <w:rsid w:val="003A0C73"/>
    <w:rsid w:val="003A27C4"/>
    <w:rsid w:val="003C0749"/>
    <w:rsid w:val="003C0F80"/>
    <w:rsid w:val="003E0416"/>
    <w:rsid w:val="00401038"/>
    <w:rsid w:val="00402140"/>
    <w:rsid w:val="00426E1A"/>
    <w:rsid w:val="00452524"/>
    <w:rsid w:val="004622A3"/>
    <w:rsid w:val="00465074"/>
    <w:rsid w:val="00465614"/>
    <w:rsid w:val="00466795"/>
    <w:rsid w:val="00481B75"/>
    <w:rsid w:val="00491493"/>
    <w:rsid w:val="004C4CD8"/>
    <w:rsid w:val="004C7ED8"/>
    <w:rsid w:val="004D0063"/>
    <w:rsid w:val="004D1A0E"/>
    <w:rsid w:val="004E4ADA"/>
    <w:rsid w:val="004E6D12"/>
    <w:rsid w:val="004F1BCE"/>
    <w:rsid w:val="004F7A40"/>
    <w:rsid w:val="00507EC7"/>
    <w:rsid w:val="00510DC1"/>
    <w:rsid w:val="005112EB"/>
    <w:rsid w:val="0051564A"/>
    <w:rsid w:val="00521BE4"/>
    <w:rsid w:val="00537FEA"/>
    <w:rsid w:val="00564B9E"/>
    <w:rsid w:val="0057381F"/>
    <w:rsid w:val="005831E1"/>
    <w:rsid w:val="0059377F"/>
    <w:rsid w:val="005C5121"/>
    <w:rsid w:val="005D014E"/>
    <w:rsid w:val="005D1A64"/>
    <w:rsid w:val="005E0EA4"/>
    <w:rsid w:val="005E33D2"/>
    <w:rsid w:val="005F3390"/>
    <w:rsid w:val="005F4015"/>
    <w:rsid w:val="005F4D88"/>
    <w:rsid w:val="005F72BF"/>
    <w:rsid w:val="00605473"/>
    <w:rsid w:val="00612EC2"/>
    <w:rsid w:val="006267C8"/>
    <w:rsid w:val="006319D1"/>
    <w:rsid w:val="00634822"/>
    <w:rsid w:val="00634D61"/>
    <w:rsid w:val="00657DB6"/>
    <w:rsid w:val="0066388F"/>
    <w:rsid w:val="0068334C"/>
    <w:rsid w:val="0068590A"/>
    <w:rsid w:val="006949CD"/>
    <w:rsid w:val="006B2CD0"/>
    <w:rsid w:val="006B701B"/>
    <w:rsid w:val="006C3627"/>
    <w:rsid w:val="006C51EA"/>
    <w:rsid w:val="006D01AE"/>
    <w:rsid w:val="006D31CD"/>
    <w:rsid w:val="006D56EE"/>
    <w:rsid w:val="006E31FD"/>
    <w:rsid w:val="006F1586"/>
    <w:rsid w:val="006F3588"/>
    <w:rsid w:val="00704898"/>
    <w:rsid w:val="00720772"/>
    <w:rsid w:val="007214E8"/>
    <w:rsid w:val="007256BA"/>
    <w:rsid w:val="00727359"/>
    <w:rsid w:val="00744E1D"/>
    <w:rsid w:val="00744EB9"/>
    <w:rsid w:val="00744EFF"/>
    <w:rsid w:val="00747418"/>
    <w:rsid w:val="00747F3E"/>
    <w:rsid w:val="00752E8A"/>
    <w:rsid w:val="007571D2"/>
    <w:rsid w:val="007621F4"/>
    <w:rsid w:val="007851AB"/>
    <w:rsid w:val="0078781A"/>
    <w:rsid w:val="00792F39"/>
    <w:rsid w:val="007A3234"/>
    <w:rsid w:val="007A702D"/>
    <w:rsid w:val="007C7F52"/>
    <w:rsid w:val="007E3DC3"/>
    <w:rsid w:val="007F5BB3"/>
    <w:rsid w:val="007F648B"/>
    <w:rsid w:val="008060C7"/>
    <w:rsid w:val="00806639"/>
    <w:rsid w:val="00815F08"/>
    <w:rsid w:val="0082587D"/>
    <w:rsid w:val="00826BB5"/>
    <w:rsid w:val="008356D5"/>
    <w:rsid w:val="0084452E"/>
    <w:rsid w:val="00865897"/>
    <w:rsid w:val="0087229F"/>
    <w:rsid w:val="00877AB3"/>
    <w:rsid w:val="0088408C"/>
    <w:rsid w:val="008844E4"/>
    <w:rsid w:val="008A0234"/>
    <w:rsid w:val="008A26DA"/>
    <w:rsid w:val="008A3CBB"/>
    <w:rsid w:val="008A7123"/>
    <w:rsid w:val="008C2FCC"/>
    <w:rsid w:val="008C42BB"/>
    <w:rsid w:val="008C4586"/>
    <w:rsid w:val="008D0052"/>
    <w:rsid w:val="008D10B2"/>
    <w:rsid w:val="008E2705"/>
    <w:rsid w:val="00923162"/>
    <w:rsid w:val="009269AB"/>
    <w:rsid w:val="0094153C"/>
    <w:rsid w:val="00947FC5"/>
    <w:rsid w:val="00954EDC"/>
    <w:rsid w:val="00962D1C"/>
    <w:rsid w:val="009864DB"/>
    <w:rsid w:val="00986774"/>
    <w:rsid w:val="00991752"/>
    <w:rsid w:val="00995807"/>
    <w:rsid w:val="009974FC"/>
    <w:rsid w:val="009A34E3"/>
    <w:rsid w:val="009A3921"/>
    <w:rsid w:val="009B5BE4"/>
    <w:rsid w:val="009B7E1C"/>
    <w:rsid w:val="009F6628"/>
    <w:rsid w:val="00A164B8"/>
    <w:rsid w:val="00A23C0E"/>
    <w:rsid w:val="00A331D9"/>
    <w:rsid w:val="00A42886"/>
    <w:rsid w:val="00A442EC"/>
    <w:rsid w:val="00A47FF5"/>
    <w:rsid w:val="00A51AA5"/>
    <w:rsid w:val="00A56606"/>
    <w:rsid w:val="00A57636"/>
    <w:rsid w:val="00A60362"/>
    <w:rsid w:val="00A608BC"/>
    <w:rsid w:val="00A72861"/>
    <w:rsid w:val="00A8211F"/>
    <w:rsid w:val="00A83754"/>
    <w:rsid w:val="00A946B4"/>
    <w:rsid w:val="00A95CC5"/>
    <w:rsid w:val="00A966BE"/>
    <w:rsid w:val="00A97D4E"/>
    <w:rsid w:val="00AA148D"/>
    <w:rsid w:val="00AA44DC"/>
    <w:rsid w:val="00AB501C"/>
    <w:rsid w:val="00AC39E3"/>
    <w:rsid w:val="00AC48D4"/>
    <w:rsid w:val="00AC4BBE"/>
    <w:rsid w:val="00AD4535"/>
    <w:rsid w:val="00AE21BC"/>
    <w:rsid w:val="00AE6E36"/>
    <w:rsid w:val="00AF2404"/>
    <w:rsid w:val="00B11CFB"/>
    <w:rsid w:val="00B1217C"/>
    <w:rsid w:val="00B24068"/>
    <w:rsid w:val="00B244CB"/>
    <w:rsid w:val="00B30920"/>
    <w:rsid w:val="00B36175"/>
    <w:rsid w:val="00B41012"/>
    <w:rsid w:val="00B437C9"/>
    <w:rsid w:val="00B57E9C"/>
    <w:rsid w:val="00B61FB6"/>
    <w:rsid w:val="00B620CC"/>
    <w:rsid w:val="00B62CC6"/>
    <w:rsid w:val="00B638BB"/>
    <w:rsid w:val="00B75636"/>
    <w:rsid w:val="00B859E6"/>
    <w:rsid w:val="00B85B25"/>
    <w:rsid w:val="00B90DF4"/>
    <w:rsid w:val="00B97728"/>
    <w:rsid w:val="00BA0023"/>
    <w:rsid w:val="00BD12F2"/>
    <w:rsid w:val="00BD21C3"/>
    <w:rsid w:val="00BE07EE"/>
    <w:rsid w:val="00BE3319"/>
    <w:rsid w:val="00BE50D2"/>
    <w:rsid w:val="00BF35FF"/>
    <w:rsid w:val="00C04FE4"/>
    <w:rsid w:val="00C06C42"/>
    <w:rsid w:val="00C174B3"/>
    <w:rsid w:val="00C211AD"/>
    <w:rsid w:val="00C2517C"/>
    <w:rsid w:val="00C27C97"/>
    <w:rsid w:val="00C31D75"/>
    <w:rsid w:val="00C372C4"/>
    <w:rsid w:val="00C421B1"/>
    <w:rsid w:val="00C44517"/>
    <w:rsid w:val="00C61B9C"/>
    <w:rsid w:val="00C65556"/>
    <w:rsid w:val="00C734FC"/>
    <w:rsid w:val="00C73C43"/>
    <w:rsid w:val="00C93A58"/>
    <w:rsid w:val="00C95BB4"/>
    <w:rsid w:val="00CA4CE7"/>
    <w:rsid w:val="00CC385D"/>
    <w:rsid w:val="00CC4ACB"/>
    <w:rsid w:val="00CD7AA0"/>
    <w:rsid w:val="00CF7FCD"/>
    <w:rsid w:val="00D01D06"/>
    <w:rsid w:val="00D168E9"/>
    <w:rsid w:val="00D208C4"/>
    <w:rsid w:val="00D30EC1"/>
    <w:rsid w:val="00D33B3A"/>
    <w:rsid w:val="00D34085"/>
    <w:rsid w:val="00D365E5"/>
    <w:rsid w:val="00D464E5"/>
    <w:rsid w:val="00D47ECB"/>
    <w:rsid w:val="00D550D7"/>
    <w:rsid w:val="00D64727"/>
    <w:rsid w:val="00D64BE1"/>
    <w:rsid w:val="00D706B5"/>
    <w:rsid w:val="00D73096"/>
    <w:rsid w:val="00D80661"/>
    <w:rsid w:val="00D878CD"/>
    <w:rsid w:val="00DA1EBB"/>
    <w:rsid w:val="00DA3C95"/>
    <w:rsid w:val="00DD1C8A"/>
    <w:rsid w:val="00DD1D31"/>
    <w:rsid w:val="00DD36B8"/>
    <w:rsid w:val="00DD547B"/>
    <w:rsid w:val="00DF1018"/>
    <w:rsid w:val="00DF249B"/>
    <w:rsid w:val="00E079A8"/>
    <w:rsid w:val="00E144CB"/>
    <w:rsid w:val="00E14DC4"/>
    <w:rsid w:val="00E26DB0"/>
    <w:rsid w:val="00E313E0"/>
    <w:rsid w:val="00E4672A"/>
    <w:rsid w:val="00E46ECB"/>
    <w:rsid w:val="00E52FF0"/>
    <w:rsid w:val="00E66BA2"/>
    <w:rsid w:val="00E76B17"/>
    <w:rsid w:val="00E86F30"/>
    <w:rsid w:val="00E90409"/>
    <w:rsid w:val="00E96597"/>
    <w:rsid w:val="00EA5CF5"/>
    <w:rsid w:val="00EB5B27"/>
    <w:rsid w:val="00EB727B"/>
    <w:rsid w:val="00EE21B7"/>
    <w:rsid w:val="00EE29C1"/>
    <w:rsid w:val="00EF46EB"/>
    <w:rsid w:val="00F41235"/>
    <w:rsid w:val="00F518ED"/>
    <w:rsid w:val="00F554E4"/>
    <w:rsid w:val="00F65A30"/>
    <w:rsid w:val="00F87F27"/>
    <w:rsid w:val="00FA5381"/>
    <w:rsid w:val="00FC3520"/>
    <w:rsid w:val="00FC7119"/>
    <w:rsid w:val="00FF2A0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25C1E2D6-D4B8-409D-AA22-F561CB3E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2EB"/>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styleId="Heading1">
    <w:name w:val="heading 1"/>
    <w:basedOn w:val="Normal"/>
    <w:next w:val="Normal"/>
    <w:link w:val="Ttulo1Char"/>
    <w:uiPriority w:val="9"/>
    <w:qFormat/>
    <w:rsid w:val="00D87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Ttulo2Char"/>
    <w:uiPriority w:val="9"/>
    <w:semiHidden/>
    <w:unhideWhenUsed/>
    <w:qFormat/>
    <w:rsid w:val="00D87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Ttulo3Char"/>
    <w:uiPriority w:val="9"/>
    <w:semiHidden/>
    <w:unhideWhenUsed/>
    <w:qFormat/>
    <w:rsid w:val="00D87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Ttulo4Char"/>
    <w:uiPriority w:val="9"/>
    <w:semiHidden/>
    <w:unhideWhenUsed/>
    <w:qFormat/>
    <w:rsid w:val="00D87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Ttulo5Char"/>
    <w:uiPriority w:val="9"/>
    <w:semiHidden/>
    <w:unhideWhenUsed/>
    <w:qFormat/>
    <w:rsid w:val="00D87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Ttulo6Char"/>
    <w:uiPriority w:val="9"/>
    <w:semiHidden/>
    <w:unhideWhenUsed/>
    <w:qFormat/>
    <w:rsid w:val="00D878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D878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D878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D878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taoDireitaGrande">
    <w:name w:val="Citação Direita Grande"/>
    <w:basedOn w:val="Normal"/>
    <w:link w:val="CitaoDireitaGrandeChar"/>
    <w:qFormat/>
    <w:rsid w:val="00296637"/>
    <w:pPr>
      <w:ind w:left="2268"/>
      <w:jc w:val="both"/>
    </w:pPr>
    <w:rPr>
      <w:szCs w:val="24"/>
    </w:rPr>
  </w:style>
  <w:style w:type="character" w:customStyle="1" w:styleId="CitaoDireitaGrandeChar">
    <w:name w:val="Citação Direita Grande Char"/>
    <w:basedOn w:val="DefaultParagraphFont"/>
    <w:link w:val="CitaoDireitaGrande"/>
    <w:rsid w:val="00296637"/>
    <w:rPr>
      <w:sz w:val="20"/>
      <w:szCs w:val="24"/>
    </w:rPr>
  </w:style>
  <w:style w:type="character" w:customStyle="1" w:styleId="Ttulo1Char">
    <w:name w:val="Título 1 Char"/>
    <w:basedOn w:val="DefaultParagraphFont"/>
    <w:link w:val="Heading1"/>
    <w:uiPriority w:val="9"/>
    <w:rsid w:val="00D878C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DefaultParagraphFont"/>
    <w:link w:val="Heading2"/>
    <w:uiPriority w:val="9"/>
    <w:semiHidden/>
    <w:rsid w:val="00D878C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DefaultParagraphFont"/>
    <w:link w:val="Heading3"/>
    <w:uiPriority w:val="9"/>
    <w:semiHidden/>
    <w:rsid w:val="00D878CD"/>
    <w:rPr>
      <w:rFonts w:eastAsiaTheme="majorEastAsia" w:cstheme="majorBidi"/>
      <w:color w:val="0F4761" w:themeColor="accent1" w:themeShade="BF"/>
      <w:sz w:val="28"/>
      <w:szCs w:val="28"/>
    </w:rPr>
  </w:style>
  <w:style w:type="character" w:customStyle="1" w:styleId="Ttulo4Char">
    <w:name w:val="Título 4 Char"/>
    <w:basedOn w:val="DefaultParagraphFont"/>
    <w:link w:val="Heading4"/>
    <w:uiPriority w:val="9"/>
    <w:semiHidden/>
    <w:rsid w:val="00D878CD"/>
    <w:rPr>
      <w:rFonts w:eastAsiaTheme="majorEastAsia" w:cstheme="majorBidi"/>
      <w:i/>
      <w:iCs/>
      <w:color w:val="0F4761" w:themeColor="accent1" w:themeShade="BF"/>
    </w:rPr>
  </w:style>
  <w:style w:type="character" w:customStyle="1" w:styleId="Ttulo5Char">
    <w:name w:val="Título 5 Char"/>
    <w:basedOn w:val="DefaultParagraphFont"/>
    <w:link w:val="Heading5"/>
    <w:uiPriority w:val="9"/>
    <w:semiHidden/>
    <w:rsid w:val="00D878CD"/>
    <w:rPr>
      <w:rFonts w:eastAsiaTheme="majorEastAsia" w:cstheme="majorBidi"/>
      <w:color w:val="0F4761" w:themeColor="accent1" w:themeShade="BF"/>
    </w:rPr>
  </w:style>
  <w:style w:type="character" w:customStyle="1" w:styleId="Ttulo6Char">
    <w:name w:val="Título 6 Char"/>
    <w:basedOn w:val="DefaultParagraphFont"/>
    <w:link w:val="Heading6"/>
    <w:uiPriority w:val="9"/>
    <w:semiHidden/>
    <w:rsid w:val="00D878CD"/>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D878CD"/>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D878CD"/>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D878CD"/>
    <w:rPr>
      <w:rFonts w:eastAsiaTheme="majorEastAsia" w:cstheme="majorBidi"/>
      <w:color w:val="272727" w:themeColor="text1" w:themeTint="D8"/>
    </w:rPr>
  </w:style>
  <w:style w:type="paragraph" w:styleId="Title">
    <w:name w:val="Title"/>
    <w:basedOn w:val="Normal"/>
    <w:next w:val="Normal"/>
    <w:link w:val="TtuloChar"/>
    <w:uiPriority w:val="10"/>
    <w:qFormat/>
    <w:rsid w:val="00D878CD"/>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D87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D878C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D878CD"/>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D878CD"/>
    <w:pPr>
      <w:spacing w:before="160"/>
      <w:jc w:val="center"/>
    </w:pPr>
    <w:rPr>
      <w:i/>
      <w:iCs/>
      <w:color w:val="404040" w:themeColor="text1" w:themeTint="BF"/>
    </w:rPr>
  </w:style>
  <w:style w:type="character" w:customStyle="1" w:styleId="CitaoChar">
    <w:name w:val="Citação Char"/>
    <w:basedOn w:val="DefaultParagraphFont"/>
    <w:link w:val="Quote"/>
    <w:uiPriority w:val="29"/>
    <w:rsid w:val="00D878CD"/>
    <w:rPr>
      <w:i/>
      <w:iCs/>
      <w:color w:val="404040" w:themeColor="text1" w:themeTint="BF"/>
    </w:rPr>
  </w:style>
  <w:style w:type="paragraph" w:styleId="ListParagraph">
    <w:name w:val="List Paragraph"/>
    <w:basedOn w:val="Normal"/>
    <w:uiPriority w:val="34"/>
    <w:qFormat/>
    <w:rsid w:val="00D878CD"/>
    <w:pPr>
      <w:ind w:left="720"/>
      <w:contextualSpacing/>
    </w:pPr>
  </w:style>
  <w:style w:type="character" w:styleId="IntenseEmphasis">
    <w:name w:val="Intense Emphasis"/>
    <w:basedOn w:val="DefaultParagraphFont"/>
    <w:uiPriority w:val="21"/>
    <w:qFormat/>
    <w:rsid w:val="00D878CD"/>
    <w:rPr>
      <w:i/>
      <w:iCs/>
      <w:color w:val="0F4761" w:themeColor="accent1" w:themeShade="BF"/>
    </w:rPr>
  </w:style>
  <w:style w:type="paragraph" w:styleId="IntenseQuote">
    <w:name w:val="Intense Quote"/>
    <w:basedOn w:val="Normal"/>
    <w:next w:val="Normal"/>
    <w:link w:val="CitaoIntensaChar"/>
    <w:uiPriority w:val="30"/>
    <w:qFormat/>
    <w:rsid w:val="00D87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DefaultParagraphFont"/>
    <w:link w:val="IntenseQuote"/>
    <w:uiPriority w:val="30"/>
    <w:rsid w:val="00D878CD"/>
    <w:rPr>
      <w:i/>
      <w:iCs/>
      <w:color w:val="0F4761" w:themeColor="accent1" w:themeShade="BF"/>
    </w:rPr>
  </w:style>
  <w:style w:type="character" w:styleId="IntenseReference">
    <w:name w:val="Intense Reference"/>
    <w:basedOn w:val="DefaultParagraphFont"/>
    <w:uiPriority w:val="32"/>
    <w:qFormat/>
    <w:rsid w:val="00D878CD"/>
    <w:rPr>
      <w:b/>
      <w:bCs/>
      <w:smallCaps/>
      <w:color w:val="0F4761" w:themeColor="accent1" w:themeShade="BF"/>
      <w:spacing w:val="5"/>
    </w:rPr>
  </w:style>
  <w:style w:type="paragraph" w:styleId="Header">
    <w:name w:val="header"/>
    <w:basedOn w:val="Normal"/>
    <w:link w:val="CabealhoChar"/>
    <w:rsid w:val="00D878CD"/>
    <w:pPr>
      <w:tabs>
        <w:tab w:val="center" w:pos="4419"/>
        <w:tab w:val="right" w:pos="8838"/>
      </w:tabs>
    </w:pPr>
  </w:style>
  <w:style w:type="character" w:customStyle="1" w:styleId="CabealhoChar">
    <w:name w:val="Cabeçalho Char"/>
    <w:basedOn w:val="DefaultParagraphFont"/>
    <w:link w:val="Header"/>
    <w:rsid w:val="00D878CD"/>
    <w:rPr>
      <w:rFonts w:ascii="Times New Roman" w:eastAsia="Times New Roman" w:hAnsi="Times New Roman" w:cs="Times New Roman"/>
      <w:kern w:val="0"/>
      <w:sz w:val="20"/>
      <w:szCs w:val="20"/>
      <w:lang w:eastAsia="zh-CN"/>
      <w14:ligatures w14:val="none"/>
    </w:rPr>
  </w:style>
  <w:style w:type="table" w:styleId="TableGrid">
    <w:name w:val="Table Grid"/>
    <w:basedOn w:val="TableNormal"/>
    <w:uiPriority w:val="39"/>
    <w:rsid w:val="00D878CD"/>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RodapChar"/>
    <w:uiPriority w:val="99"/>
    <w:unhideWhenUsed/>
    <w:rsid w:val="00245209"/>
    <w:pPr>
      <w:tabs>
        <w:tab w:val="center" w:pos="4252"/>
        <w:tab w:val="right" w:pos="8504"/>
      </w:tabs>
    </w:pPr>
  </w:style>
  <w:style w:type="character" w:customStyle="1" w:styleId="RodapChar">
    <w:name w:val="Rodapé Char"/>
    <w:basedOn w:val="DefaultParagraphFont"/>
    <w:link w:val="Footer"/>
    <w:uiPriority w:val="99"/>
    <w:rsid w:val="00245209"/>
    <w:rPr>
      <w:rFonts w:ascii="Times New Roman" w:eastAsia="Times New Roman" w:hAnsi="Times New Roman" w:cs="Times New Roman"/>
      <w:kern w:val="0"/>
      <w:sz w:val="20"/>
      <w:szCs w:val="20"/>
      <w:lang w:eastAsia="zh-CN"/>
      <w14:ligatures w14:val="none"/>
    </w:rPr>
  </w:style>
  <w:style w:type="paragraph" w:styleId="FootnoteText">
    <w:name w:val="footnote text"/>
    <w:basedOn w:val="Normal"/>
    <w:link w:val="TextodenotaderodapChar"/>
    <w:uiPriority w:val="99"/>
    <w:semiHidden/>
    <w:unhideWhenUsed/>
    <w:rsid w:val="003E0416"/>
  </w:style>
  <w:style w:type="character" w:customStyle="1" w:styleId="TextodenotaderodapChar">
    <w:name w:val="Texto de nota de rodapé Char"/>
    <w:basedOn w:val="DefaultParagraphFont"/>
    <w:link w:val="FootnoteText"/>
    <w:uiPriority w:val="99"/>
    <w:semiHidden/>
    <w:rsid w:val="003E0416"/>
    <w:rPr>
      <w:rFonts w:ascii="Times New Roman" w:eastAsia="Times New Roman" w:hAnsi="Times New Roman" w:cs="Times New Roman"/>
      <w:kern w:val="0"/>
      <w:sz w:val="20"/>
      <w:szCs w:val="20"/>
      <w:lang w:eastAsia="zh-CN"/>
      <w14:ligatures w14:val="none"/>
    </w:rPr>
  </w:style>
  <w:style w:type="character" w:styleId="FootnoteReference">
    <w:name w:val="footnote reference"/>
    <w:basedOn w:val="DefaultParagraphFont"/>
    <w:uiPriority w:val="99"/>
    <w:semiHidden/>
    <w:unhideWhenUsed/>
    <w:rsid w:val="003E0416"/>
    <w:rPr>
      <w:vertAlign w:val="superscript"/>
    </w:rPr>
  </w:style>
  <w:style w:type="paragraph" w:styleId="NormalWeb">
    <w:name w:val="Normal (Web)"/>
    <w:basedOn w:val="Normal"/>
    <w:uiPriority w:val="99"/>
    <w:semiHidden/>
    <w:unhideWhenUsed/>
    <w:rsid w:val="00FC7119"/>
    <w:rPr>
      <w:sz w:val="24"/>
      <w:szCs w:val="24"/>
    </w:rPr>
  </w:style>
  <w:style w:type="character" w:styleId="Hyperlink">
    <w:name w:val="Hyperlink"/>
    <w:basedOn w:val="DefaultParagraphFont"/>
    <w:uiPriority w:val="99"/>
    <w:unhideWhenUsed/>
    <w:rsid w:val="0087229F"/>
    <w:rPr>
      <w:color w:val="467886" w:themeColor="hyperlink"/>
      <w:u w:val="single"/>
    </w:rPr>
  </w:style>
  <w:style w:type="character" w:customStyle="1" w:styleId="UnresolvedMention">
    <w:name w:val="Unresolved Mention"/>
    <w:basedOn w:val="DefaultParagraphFont"/>
    <w:uiPriority w:val="99"/>
    <w:semiHidden/>
    <w:unhideWhenUsed/>
    <w:rsid w:val="0087229F"/>
    <w:rPr>
      <w:color w:val="605E5C"/>
      <w:shd w:val="clear" w:color="auto" w:fill="E1DFDD"/>
    </w:rPr>
  </w:style>
  <w:style w:type="character" w:styleId="FollowedHyperlink">
    <w:name w:val="FollowedHyperlink"/>
    <w:basedOn w:val="DefaultParagraphFont"/>
    <w:uiPriority w:val="99"/>
    <w:semiHidden/>
    <w:unhideWhenUsed/>
    <w:rsid w:val="00E76B1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2DE75-00D8-481A-A707-DD65C804C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2007</TotalTime>
  <Pages>6</Pages>
  <Words>2292</Words>
  <Characters>12382</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Cavaca</dc:creator>
  <cp:lastModifiedBy>Ernani</cp:lastModifiedBy>
  <cp:revision>71</cp:revision>
  <cp:lastPrinted>2026-05-15T11:46:26Z</cp:lastPrinted>
  <dcterms:created xsi:type="dcterms:W3CDTF">2026-01-09T01:35:00Z</dcterms:created>
  <dcterms:modified xsi:type="dcterms:W3CDTF">2026-05-15T01:15:00Z</dcterms:modified>
</cp:coreProperties>
</file>