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Nº 36/2026</w:t>
      </w:r>
      <w:r w:rsidRPr="00465074">
        <w:rPr>
          <w:rFonts w:ascii="Courier New" w:hAnsi="Courier New" w:cs="Courier New"/>
          <w:b/>
          <w:bCs/>
          <w:kern w:val="3"/>
          <w:sz w:val="24"/>
          <w:szCs w:val="24"/>
        </w:rPr>
        <w:t>Emenda Nº 2 ao Projeto de Lei Nº 36/2026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1521455E">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0D4177" w:rsidR="000D4177">
        <w:rPr>
          <w:rFonts w:ascii="Courier New" w:hAnsi="Courier New" w:cs="Courier New"/>
          <w:i/>
          <w:iCs/>
          <w:kern w:val="3"/>
          <w:sz w:val="22"/>
          <w:szCs w:val="22"/>
        </w:rPr>
        <w:t xml:space="preserve">EMENDA </w:t>
      </w:r>
      <w:r w:rsidRPr="00D852D2" w:rsidR="00D852D2">
        <w:rPr>
          <w:rFonts w:ascii="Courier New" w:hAnsi="Courier New" w:cs="Courier New"/>
          <w:i/>
          <w:iCs/>
          <w:kern w:val="3"/>
          <w:sz w:val="22"/>
          <w:szCs w:val="22"/>
        </w:rPr>
        <w:t>ADITIVA</w:t>
      </w:r>
      <w:r w:rsidR="00D852D2">
        <w:rPr>
          <w:rFonts w:ascii="Courier New" w:hAnsi="Courier New" w:cs="Courier New"/>
          <w:i/>
          <w:iCs/>
          <w:kern w:val="3"/>
          <w:sz w:val="22"/>
          <w:szCs w:val="22"/>
        </w:rPr>
        <w:t xml:space="preserve"> </w:t>
      </w:r>
      <w:r w:rsidRPr="002C6AAE" w:rsidR="002C6AAE">
        <w:rPr>
          <w:rFonts w:ascii="Courier New" w:hAnsi="Courier New" w:cs="Courier New"/>
          <w:i/>
          <w:iCs/>
          <w:kern w:val="3"/>
          <w:sz w:val="22"/>
          <w:szCs w:val="22"/>
        </w:rPr>
        <w:t>AO PROJETO DE LEI Nº 36/2026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22B65D90">
      <w:pPr>
        <w:spacing w:before="120" w:after="120" w:line="276" w:lineRule="auto"/>
        <w:ind w:firstLine="708"/>
        <w:jc w:val="both"/>
        <w:rPr>
          <w:rFonts w:ascii="Courier New" w:hAnsi="Courier New" w:cs="Courier New"/>
          <w:sz w:val="22"/>
          <w:szCs w:val="22"/>
        </w:rPr>
      </w:pPr>
      <w:r w:rsidRPr="00D852D2">
        <w:rPr>
          <w:rFonts w:ascii="Courier New" w:hAnsi="Courier New" w:cs="Courier New"/>
          <w:sz w:val="22"/>
          <w:szCs w:val="22"/>
        </w:rPr>
        <w:t>Adiciona os parágrafos 1º, 2º e 3º ao Artigo 5º do Projeto de Lei nº 36/2026</w:t>
      </w:r>
      <w:r w:rsidRPr="002C6AAE" w:rsidR="002C6AAE">
        <w:rPr>
          <w:rFonts w:ascii="Courier New" w:hAnsi="Courier New" w:cs="Courier New"/>
          <w:sz w:val="22"/>
          <w:szCs w:val="22"/>
        </w:rPr>
        <w:t>, que passa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D852D2" w:rsidP="00010A9F" w14:paraId="466AA813" w14:textId="7E0B430C">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0D4177" w:rsidR="000D4177">
        <w:rPr>
          <w:rFonts w:ascii="Courier New" w:hAnsi="Courier New" w:cs="Courier New"/>
          <w:b/>
          <w:bCs/>
          <w:sz w:val="22"/>
          <w:szCs w:val="22"/>
        </w:rPr>
        <w:t xml:space="preserve">Art. </w:t>
      </w:r>
      <w:r>
        <w:rPr>
          <w:rFonts w:ascii="Courier New" w:hAnsi="Courier New" w:cs="Courier New"/>
          <w:b/>
          <w:bCs/>
          <w:sz w:val="22"/>
          <w:szCs w:val="22"/>
        </w:rPr>
        <w:t>5</w:t>
      </w:r>
      <w:r w:rsidR="002C6AAE">
        <w:rPr>
          <w:rFonts w:ascii="Courier New" w:hAnsi="Courier New" w:cs="Courier New"/>
          <w:b/>
          <w:bCs/>
          <w:sz w:val="22"/>
          <w:szCs w:val="22"/>
        </w:rPr>
        <w:t>º</w:t>
      </w:r>
      <w:r w:rsidRPr="001604C3" w:rsidR="001604C3">
        <w:rPr>
          <w:rFonts w:ascii="Courier New" w:hAnsi="Courier New" w:cs="Courier New"/>
          <w:sz w:val="22"/>
          <w:szCs w:val="22"/>
        </w:rPr>
        <w:t xml:space="preserve"> </w:t>
      </w:r>
      <w:r>
        <w:rPr>
          <w:rFonts w:ascii="Courier New" w:hAnsi="Courier New" w:cs="Courier New"/>
          <w:sz w:val="22"/>
          <w:szCs w:val="22"/>
        </w:rPr>
        <w:t>[...]</w:t>
      </w:r>
    </w:p>
    <w:p w:rsidR="00D852D2" w:rsidP="00010A9F" w14:paraId="24DDD363" w14:textId="209B64F8">
      <w:pPr>
        <w:spacing w:before="120" w:after="120" w:line="276" w:lineRule="auto"/>
        <w:jc w:val="both"/>
        <w:rPr>
          <w:rFonts w:ascii="Courier New" w:hAnsi="Courier New" w:cs="Courier New"/>
          <w:sz w:val="22"/>
          <w:szCs w:val="22"/>
        </w:rPr>
      </w:pPr>
      <w:r w:rsidRPr="00D852D2">
        <w:rPr>
          <w:rFonts w:ascii="Courier New" w:hAnsi="Courier New" w:cs="Courier New"/>
          <w:b/>
          <w:bCs/>
          <w:sz w:val="22"/>
          <w:szCs w:val="22"/>
        </w:rPr>
        <w:t>§1º</w:t>
      </w:r>
      <w:r w:rsidRPr="00D852D2">
        <w:rPr>
          <w:rFonts w:ascii="Courier New" w:hAnsi="Courier New" w:cs="Courier New"/>
          <w:sz w:val="22"/>
          <w:szCs w:val="22"/>
        </w:rPr>
        <w:t xml:space="preserve"> - O cronograma mencionado no </w:t>
      </w:r>
      <w:r w:rsidRPr="00D852D2">
        <w:rPr>
          <w:rFonts w:ascii="Courier New" w:hAnsi="Courier New" w:cs="Courier New"/>
          <w:i/>
          <w:iCs/>
          <w:sz w:val="22"/>
          <w:szCs w:val="22"/>
        </w:rPr>
        <w:t>caput</w:t>
      </w:r>
      <w:r w:rsidRPr="00D852D2">
        <w:rPr>
          <w:rFonts w:ascii="Courier New" w:hAnsi="Courier New" w:cs="Courier New"/>
          <w:sz w:val="22"/>
          <w:szCs w:val="22"/>
        </w:rPr>
        <w:t xml:space="preserve"> deverá ser publicado integralmente no Diário Oficial do Município, em observância ao princípio da publicidade, contendo os critérios de prioridade e os prazos estabelecidos para a quitação.</w:t>
      </w:r>
    </w:p>
    <w:p w:rsidR="00D852D2" w:rsidP="00010A9F" w14:paraId="2FDBDFE9" w14:textId="08C7F114">
      <w:pPr>
        <w:spacing w:before="120" w:after="120" w:line="276" w:lineRule="auto"/>
        <w:jc w:val="both"/>
        <w:rPr>
          <w:rFonts w:ascii="Courier New" w:hAnsi="Courier New" w:cs="Courier New"/>
          <w:sz w:val="22"/>
          <w:szCs w:val="22"/>
        </w:rPr>
      </w:pPr>
      <w:r w:rsidRPr="00D852D2">
        <w:rPr>
          <w:rFonts w:ascii="Courier New" w:hAnsi="Courier New" w:cs="Courier New"/>
          <w:b/>
          <w:bCs/>
          <w:sz w:val="22"/>
          <w:szCs w:val="22"/>
        </w:rPr>
        <w:t>§2º</w:t>
      </w:r>
      <w:r w:rsidRPr="00D852D2">
        <w:rPr>
          <w:rFonts w:ascii="Courier New" w:hAnsi="Courier New" w:cs="Courier New"/>
          <w:sz w:val="22"/>
          <w:szCs w:val="22"/>
        </w:rPr>
        <w:t xml:space="preserve"> - Na definição do cronograma de pagamento, a Mesa Diretora observará, sempre que a disponibilidade financeira permitir, o critério de prioridade para o pagamento integral aos servidores que venham a completar os requisitos para aposentadoria ou que já se encontrem em processo de inativação.</w:t>
      </w:r>
    </w:p>
    <w:p w:rsidR="0088408C" w:rsidP="00010A9F" w14:paraId="6612735D" w14:textId="427AB47A">
      <w:pPr>
        <w:spacing w:before="120" w:after="120" w:line="276" w:lineRule="auto"/>
        <w:jc w:val="both"/>
        <w:rPr>
          <w:rFonts w:ascii="Courier New" w:hAnsi="Courier New" w:cs="Courier New"/>
          <w:sz w:val="22"/>
          <w:szCs w:val="22"/>
        </w:rPr>
      </w:pPr>
      <w:r w:rsidRPr="00D852D2">
        <w:rPr>
          <w:rFonts w:ascii="Courier New" w:hAnsi="Courier New" w:cs="Courier New"/>
          <w:b/>
          <w:bCs/>
          <w:sz w:val="22"/>
          <w:szCs w:val="22"/>
        </w:rPr>
        <w:t>§3º</w:t>
      </w:r>
      <w:r w:rsidRPr="00D852D2">
        <w:rPr>
          <w:rFonts w:ascii="Courier New" w:hAnsi="Courier New" w:cs="Courier New"/>
          <w:sz w:val="22"/>
          <w:szCs w:val="22"/>
        </w:rPr>
        <w:t xml:space="preserve"> - Os pagamentos deverão observar a legislação vigente quanto à preservação do valor real das verbas de natureza alimentar, mediante a aplicação dos índices oficiais de correção monetária.</w:t>
      </w:r>
      <w:r w:rsidR="000D4177">
        <w:rPr>
          <w:rFonts w:ascii="Courier New" w:hAnsi="Courier New" w:cs="Courier New"/>
          <w:sz w:val="22"/>
          <w:szCs w:val="22"/>
        </w:rPr>
        <w:t>”</w:t>
      </w: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5ACBCDD1">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7003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D552D4" w:rsidP="00D552D4" w14:paraId="6A00D34C"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A presente emenda aditiva tem por finalidade precípua conferir </w:t>
      </w:r>
      <w:r w:rsidRPr="00D552D4">
        <w:rPr>
          <w:rFonts w:ascii="Courier New" w:hAnsi="Courier New" w:cs="Courier New"/>
          <w:b/>
          <w:bCs/>
          <w:sz w:val="22"/>
          <w:szCs w:val="22"/>
        </w:rPr>
        <w:t>transparência, justiça social e segurança jurídica</w:t>
      </w:r>
      <w:r w:rsidRPr="00D552D4">
        <w:rPr>
          <w:rFonts w:ascii="Courier New" w:hAnsi="Courier New" w:cs="Courier New"/>
          <w:sz w:val="22"/>
          <w:szCs w:val="22"/>
        </w:rPr>
        <w:t xml:space="preserve"> ao processo de restabelecimento dos direitos funcionais dos servidores do Poder Legislativo de Mogi Mirim.</w:t>
      </w:r>
    </w:p>
    <w:p w:rsidR="00D552D4" w:rsidRPr="00D552D4" w:rsidP="00D552D4" w14:paraId="59D8C938" w14:textId="3C67672A">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Tem-se que a </w:t>
      </w:r>
      <w:r w:rsidRPr="00D552D4">
        <w:rPr>
          <w:rFonts w:ascii="Courier New" w:hAnsi="Courier New" w:cs="Courier New"/>
          <w:sz w:val="22"/>
          <w:szCs w:val="22"/>
        </w:rPr>
        <w:t xml:space="preserve">proposta não cria novos gastos, mas organiza a execução dos pagamentos de forma a proteger os servidores que estão prestes a se aposentar e garantir que os valores devidos não sejam corroídos pela inflação. Ao estabelecermos um cronograma público e priorizarmos aqueles que dedicaram uma vida inteira ao serviço público, estamos honrando o compromisso desta Casa com a </w:t>
      </w:r>
      <w:r w:rsidRPr="00D552D4">
        <w:rPr>
          <w:rFonts w:ascii="Courier New" w:hAnsi="Courier New" w:cs="Courier New"/>
          <w:b/>
          <w:bCs/>
          <w:sz w:val="22"/>
          <w:szCs w:val="22"/>
        </w:rPr>
        <w:t>dignidade da pessoa humana</w:t>
      </w:r>
      <w:r w:rsidRPr="00D552D4">
        <w:rPr>
          <w:rFonts w:ascii="Courier New" w:hAnsi="Courier New" w:cs="Courier New"/>
          <w:sz w:val="22"/>
          <w:szCs w:val="22"/>
        </w:rPr>
        <w:t xml:space="preserve"> e com a </w:t>
      </w:r>
      <w:r w:rsidRPr="00D552D4">
        <w:rPr>
          <w:rFonts w:ascii="Courier New" w:hAnsi="Courier New" w:cs="Courier New"/>
          <w:b/>
          <w:bCs/>
          <w:sz w:val="22"/>
          <w:szCs w:val="22"/>
        </w:rPr>
        <w:t>eficiência administrativa</w:t>
      </w:r>
      <w:r w:rsidRPr="00D552D4">
        <w:rPr>
          <w:rFonts w:ascii="Courier New" w:hAnsi="Courier New" w:cs="Courier New"/>
          <w:sz w:val="22"/>
          <w:szCs w:val="22"/>
        </w:rPr>
        <w:t xml:space="preserve">, assegurando que a recomposição do tempo de serviço, autorizada pela </w:t>
      </w:r>
      <w:r w:rsidRPr="00D552D4">
        <w:rPr>
          <w:rFonts w:ascii="Courier New" w:hAnsi="Courier New" w:cs="Courier New"/>
          <w:b/>
          <w:bCs/>
          <w:sz w:val="22"/>
          <w:szCs w:val="22"/>
        </w:rPr>
        <w:t>Lei Complementar Federal nº 226/2026</w:t>
      </w:r>
      <w:r w:rsidRPr="00D552D4">
        <w:rPr>
          <w:rFonts w:ascii="Courier New" w:hAnsi="Courier New" w:cs="Courier New"/>
          <w:sz w:val="22"/>
          <w:szCs w:val="22"/>
        </w:rPr>
        <w:t>, ocorra de forma ordenada e transparente.</w:t>
      </w:r>
    </w:p>
    <w:p w:rsidR="00D552D4" w:rsidRPr="00D552D4" w:rsidP="00D552D4" w14:paraId="6CAC523E"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A pertinência temática desta emenda e a ausência de vício de iniciativa são sustentadas pela pacífica jurisprudência dos Tribunais Superiores. O </w:t>
      </w:r>
      <w:r w:rsidRPr="00D552D4">
        <w:rPr>
          <w:rFonts w:ascii="Courier New" w:hAnsi="Courier New" w:cs="Courier New"/>
          <w:b/>
          <w:bCs/>
          <w:sz w:val="22"/>
          <w:szCs w:val="22"/>
        </w:rPr>
        <w:t>Supremo Tribunal Federal</w:t>
      </w:r>
      <w:r w:rsidRPr="00D552D4">
        <w:rPr>
          <w:rFonts w:ascii="Courier New" w:hAnsi="Courier New" w:cs="Courier New"/>
          <w:sz w:val="22"/>
          <w:szCs w:val="22"/>
        </w:rPr>
        <w:t xml:space="preserve"> consolidou o entendimento de que o Poder Legislativo possui a prerrogativa de emendar projetos de iniciativa reservada, desde que respeitada a pertinência com o objeto original e que não haja aumento de despesa global. No presente caso, a emenda apenas disciplina a forma de cumprimento de uma obrigação já prevista no projeto principal, sem criar novos benefícios pecuniários. Nesse sentido, destaca-se o seguinte julgado:</w:t>
      </w:r>
    </w:p>
    <w:p w:rsidR="00320D4D" w:rsidP="00D365E5" w14:paraId="35228D19" w14:textId="77777777">
      <w:pPr>
        <w:spacing w:before="120" w:after="120" w:line="276" w:lineRule="auto"/>
        <w:ind w:firstLine="567"/>
        <w:jc w:val="both"/>
        <w:rPr>
          <w:rFonts w:ascii="Courier New" w:hAnsi="Courier New" w:cs="Courier New"/>
          <w:sz w:val="22"/>
          <w:szCs w:val="22"/>
        </w:rPr>
      </w:pPr>
    </w:p>
    <w:p w:rsidR="00491493" w:rsidP="005112EB" w14:paraId="04DE3612" w14:textId="2A6E5610">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AÇÃO DIRETA DE INCONSTITUCIONALIDADE. ARTS. 2º, 3º E 4º DA LEI Nº 15.188/2018 DO ESTADO DO RIO GRANDE DO SUL. ALTERAÇÃO DA LEI Nº 13.930/2012 DO ESTADO DO RIO GRANDE DO SUL. QUADRO DE PESSOAL DO INSTITUTO RIO-GRANDENSE DO ARROZ. NORMAS SOBRE PROMOÇÕES E GRATIFICAÇÕES DE SERVIDORES PÚBLICOS DO EXECUTIVO ACRESCIDAS POR EMENDA PARLAMENTAR. INICIATIVA RESERVADA AO CHEFE DO PODER EXECUTIVO LOCAL. AUMENTO DE DESPESA. LIMITES CONSTITUCIONAIS ÀS EMENDAS PARLAMENTARES AOS PROJETOS DE LEI DE INICIATIVA RESERVADA. OFENSA AO ART. 63, I, DA CONSTITUIÇÃO FEDERAL E AO PRINCÍPIO DA SEPARAÇÃO DE PODERES (ART. 2º, CF). JURISPRUDÊNCIA PACÍFICA E DOMINANTE. PRECEDENTES. 1. A jurisprudência do Supremo Tribunal Federal é pacífica e dominante no sentido de que a previsão constitucional de iniciativa legislativa reservada não impede que o projeto de lei encaminhado ao Poder Legislativo seja objeto de emendas parlamentares. Nesse sentido: ADI 1.050-MC, Rel. Min. Celso de Mello; ADI 865-MC, Rel. Min. Celso de Mello. 2. Entretanto, este Supremo Tribunal Federal possui jurisprudência pacífica e dominante no sentido de que a possibilidade de emendas parlamentares aos projetos de lei de iniciativa reservada ao Chefe do Poder Executivo, aos Tribunais, ao Ministério Público, dentre outros, encontra duas limitações constitucionais, quais sejam: (i) não acarretem em aumento de despesa e; (</w:t>
      </w:r>
      <w:r w:rsidRPr="00D552D4">
        <w:rPr>
          <w:rFonts w:ascii="Courier New" w:hAnsi="Courier New" w:cs="Courier New"/>
        </w:rPr>
        <w:t>ii</w:t>
      </w:r>
      <w:r w:rsidRPr="00D552D4">
        <w:rPr>
          <w:rFonts w:ascii="Courier New" w:hAnsi="Courier New" w:cs="Courier New"/>
        </w:rPr>
        <w:t xml:space="preserve">) mantenham pertinência temática com o objeto do projeto de lei. 3. A emenda parlamentar objeto da presente ação acarretou em inegável aumento de despesa previsto no projeto original </w:t>
      </w:r>
      <w:r w:rsidRPr="00D552D4">
        <w:rPr>
          <w:rFonts w:ascii="Courier New" w:hAnsi="Courier New" w:cs="Courier New"/>
        </w:rPr>
        <w:t xml:space="preserve">encaminhado pelo Governador do Estado do Rio Grande do Sul, violando, portanto, o art. 63, I, da Constituição Federal, dado que instituiu e estendeu gratificações, bem como reduziu o tempo originalmente previsto na lei entre as promoções, </w:t>
      </w:r>
      <w:r w:rsidRPr="00D552D4">
        <w:rPr>
          <w:rFonts w:ascii="Courier New" w:hAnsi="Courier New" w:cs="Courier New"/>
        </w:rPr>
        <w:t>tornado-as</w:t>
      </w:r>
      <w:r w:rsidRPr="00D552D4">
        <w:rPr>
          <w:rFonts w:ascii="Courier New" w:hAnsi="Courier New" w:cs="Courier New"/>
        </w:rPr>
        <w:t xml:space="preserve"> mais frequentes. 4. Ação direta de inconstitucionalidade cujo pedido se julga procedente.</w:t>
      </w:r>
      <w:r>
        <w:rPr>
          <w:rFonts w:ascii="Courier New" w:hAnsi="Courier New" w:cs="Courier New"/>
        </w:rPr>
        <w:t xml:space="preserve"> </w:t>
      </w:r>
      <w:r w:rsidRPr="00D552D4">
        <w:rPr>
          <w:rFonts w:ascii="Courier New" w:hAnsi="Courier New" w:cs="Courier New"/>
        </w:rPr>
        <w:t>(STF - ADI: 6072 RS, Relator: ROBERTO BARROSO, Data de Julgamento: 30/08/2019, Tribunal Pleno, Data de Publicação: 16/09/2019)</w:t>
      </w:r>
    </w:p>
    <w:p w:rsidR="00744E1D" w:rsidP="00D365E5" w14:paraId="07BC95AD" w14:textId="5BCD1685">
      <w:pPr>
        <w:spacing w:before="120" w:after="120" w:line="276" w:lineRule="auto"/>
        <w:ind w:firstLine="567"/>
        <w:jc w:val="both"/>
        <w:rPr>
          <w:rFonts w:ascii="Courier New" w:hAnsi="Courier New" w:cs="Courier New"/>
          <w:sz w:val="22"/>
          <w:szCs w:val="22"/>
        </w:rPr>
      </w:pPr>
    </w:p>
    <w:p w:rsidR="00D552D4" w:rsidRPr="00D552D4" w:rsidP="00D552D4" w14:paraId="0998C674"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Reforçando tal entendimento, o </w:t>
      </w:r>
      <w:r w:rsidRPr="00D552D4">
        <w:rPr>
          <w:rFonts w:ascii="Courier New" w:hAnsi="Courier New" w:cs="Courier New"/>
          <w:b/>
          <w:bCs/>
          <w:sz w:val="22"/>
          <w:szCs w:val="22"/>
        </w:rPr>
        <w:t>Tribunal de Justiça do Distrito Federal e dos Territórios</w:t>
      </w:r>
      <w:r w:rsidRPr="00D552D4">
        <w:rPr>
          <w:rFonts w:ascii="Courier New" w:hAnsi="Courier New" w:cs="Courier New"/>
          <w:sz w:val="22"/>
          <w:szCs w:val="22"/>
        </w:rPr>
        <w:t xml:space="preserve"> e o próprio </w:t>
      </w:r>
      <w:r w:rsidRPr="00D552D4">
        <w:rPr>
          <w:rFonts w:ascii="Courier New" w:hAnsi="Courier New" w:cs="Courier New"/>
          <w:b/>
          <w:bCs/>
          <w:sz w:val="22"/>
          <w:szCs w:val="22"/>
        </w:rPr>
        <w:t>STF</w:t>
      </w:r>
      <w:r w:rsidRPr="00D552D4">
        <w:rPr>
          <w:rFonts w:ascii="Courier New" w:hAnsi="Courier New" w:cs="Courier New"/>
          <w:sz w:val="22"/>
          <w:szCs w:val="22"/>
        </w:rPr>
        <w:t xml:space="preserve"> em outros precedentes reiteram a validade do poder de emenda parlamentar quando voltado à organização administrativa e ao regime jurídico, desde que observados os limites fiscais:</w:t>
      </w:r>
    </w:p>
    <w:p w:rsidR="00491493" w:rsidP="00D365E5" w14:paraId="5701FE1B" w14:textId="77777777">
      <w:pPr>
        <w:spacing w:before="120" w:after="120" w:line="276" w:lineRule="auto"/>
        <w:ind w:firstLine="567"/>
        <w:jc w:val="both"/>
        <w:rPr>
          <w:rFonts w:ascii="Courier New" w:hAnsi="Courier New" w:cs="Courier New"/>
          <w:sz w:val="22"/>
          <w:szCs w:val="22"/>
        </w:rPr>
      </w:pPr>
    </w:p>
    <w:p w:rsidR="00D552D4" w:rsidP="00D552D4" w14:paraId="7053D2D0" w14:textId="16773148">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CONSTITUCIONAL. ADMINISTRATIVO. PROCESSO LEGISLATIVO. CONTROLE DE CONSTITUCIONALIDADE. LIMINAR. CAUTELAR. REQUISITOS CUMULATIVOS. PROBABILIDADE DO DIREITO. PERIGO DA DEMORA. LEI DE INICIATIVA DO EXECUTIVO. INSTITUIÇÃO DE GRATIFICAÇÕES. DETRAN. GRATIFICAÇÃO POR HABILITAÇÃO DA CARREIRA ATIVIDADES DE TRÂNSITO (</w:t>
      </w:r>
      <w:r w:rsidRPr="00D552D4">
        <w:rPr>
          <w:rFonts w:ascii="Courier New" w:hAnsi="Courier New" w:cs="Courier New"/>
        </w:rPr>
        <w:t>GHAT</w:t>
      </w:r>
      <w:r w:rsidRPr="00D552D4">
        <w:rPr>
          <w:rFonts w:ascii="Courier New" w:hAnsi="Courier New" w:cs="Courier New"/>
        </w:rPr>
        <w:t>) E POR HABILITAÇÃO DE POLICIAMENTO E FISCALIZAÇÃO DE TRÂNSITO (</w:t>
      </w:r>
      <w:r w:rsidRPr="00D552D4">
        <w:rPr>
          <w:rFonts w:ascii="Courier New" w:hAnsi="Courier New" w:cs="Courier New"/>
        </w:rPr>
        <w:t>GHPFT</w:t>
      </w:r>
      <w:r w:rsidRPr="00D552D4">
        <w:rPr>
          <w:rFonts w:ascii="Courier New" w:hAnsi="Courier New" w:cs="Courier New"/>
        </w:rPr>
        <w:t xml:space="preserve">). SERVIDORES PÚBLICOS. AUMENTO DE DESPESA. PODER DE EMENDA PARLAMENTAR. RESTRIÇÕES. AUMENTO DE DESPESA. PRESENÇA DOS REQUISITOS PARA A CONCESSÃO DA LIMINAR. SUSPENSÃO DA EFICÁCIA ATÉ O JULGAMENTO FINAL. 1. A concessão da medida cautelar nas ações de controle objetivo de constitucionalidade exige, cumulativamente, a demonstração da relevância da fundamentação quanto à inconstitucionalidade do dispositivo impugnado com base na probabilidade do direito invocado (fumus boni iuris) e da comprovação do perigo de dano irreparável ou de difícil reparação (periculum in mora), uma vez que se trata de uma exceção ao princípio segundo o qual os atos normativos são presumidamente constitucionais. 2. O exame do caderno processual indica a presença do fumus boni iuris na medida em que revela que o artigo 3º da Lei Distrital 7.107/22 é fruto exclusivo de emenda parlamentar a um projeto de lei de iniciativa privativa do Chefe do Poder Executivo distrital, dispondo pela via da prerrogativa encartada no poder de emenda acerca da alteração da estrutura remuneratória dos servidores da Carreira de Atividades de Trânsito no âmbito do Departamento de Trânsito do Distrito Federal, o que redundou em aumento de despesas ao governo sem a autorização específica na lei de diretrizes orçamentárias e prévia dotação suficiente para atender às projeções de despesas de pessoal, situação que se aloca em posição de aparente confronto com a extração normativa estampada nas diretrizes do artigo 71, § 1º, incisos I e II; do artigo 72, inciso I; do artigo 151, incisos I e II; e do artigo 157, § 1º, inciso I, todos da </w:t>
      </w:r>
      <w:r w:rsidRPr="00D552D4">
        <w:rPr>
          <w:rFonts w:ascii="Courier New" w:hAnsi="Courier New" w:cs="Courier New"/>
        </w:rPr>
        <w:t>LODF</w:t>
      </w:r>
      <w:r w:rsidRPr="00D552D4">
        <w:rPr>
          <w:rFonts w:ascii="Courier New" w:hAnsi="Courier New" w:cs="Courier New"/>
        </w:rPr>
        <w:t xml:space="preserve">. 3. As emendas parlamentares aos projetos de lei de iniciativa reservada ao Chefe do Poder Executivo são possíveis desde que guardem estreita pertinência temática com o projeto original e que não importem aumento de despesas. Precedentes STF e TJDFT. 4. O periculum in mora reside não só tentativa de preservação do equilíbrio entre os Poderes até o exame final do controle de constitucionalidade para equalizar a aparente distensão das competências legislativas entre o legislativo e o executivo na instituição das gratificações previstas no artigo 3º da Lei </w:t>
      </w:r>
      <w:r w:rsidRPr="00D552D4">
        <w:rPr>
          <w:rFonts w:ascii="Courier New" w:hAnsi="Courier New" w:cs="Courier New"/>
        </w:rPr>
        <w:t xml:space="preserve">Distrital 7.107/22, mas, sobretudo, para obstar os efeitos normativos que podem irradiar no incremento de gastos públicos com a posterior dificuldade de sua reposição ao erário. 5. Medida cautelar concedida para suspender os efeitos do artigo 3º da Lei Distrital 7.104/22 e, por arrastamento, da Lei Distrital 7.173/22, com </w:t>
      </w:r>
      <w:r w:rsidRPr="00D552D4">
        <w:rPr>
          <w:rFonts w:ascii="Courier New" w:hAnsi="Courier New" w:cs="Courier New"/>
        </w:rPr>
        <w:t>efeito ?</w:t>
      </w:r>
      <w:r w:rsidRPr="00D552D4">
        <w:rPr>
          <w:rFonts w:ascii="Courier New" w:hAnsi="Courier New" w:cs="Courier New"/>
        </w:rPr>
        <w:t>ex</w:t>
      </w:r>
      <w:r w:rsidRPr="00D552D4">
        <w:rPr>
          <w:rFonts w:ascii="Courier New" w:hAnsi="Courier New" w:cs="Courier New"/>
        </w:rPr>
        <w:t xml:space="preserve"> nunc? </w:t>
      </w:r>
      <w:r w:rsidRPr="00D552D4">
        <w:rPr>
          <w:rFonts w:ascii="Courier New" w:hAnsi="Courier New" w:cs="Courier New"/>
        </w:rPr>
        <w:t>e ?erga</w:t>
      </w:r>
      <w:r w:rsidRPr="00D552D4">
        <w:rPr>
          <w:rFonts w:ascii="Courier New" w:hAnsi="Courier New" w:cs="Courier New"/>
        </w:rPr>
        <w:t xml:space="preserve"> omnes?, até o julgamento final da presente demanda</w:t>
      </w:r>
      <w:r>
        <w:rPr>
          <w:rFonts w:ascii="Courier New" w:hAnsi="Courier New" w:cs="Courier New"/>
        </w:rPr>
        <w:t xml:space="preserve"> </w:t>
      </w:r>
      <w:r w:rsidRPr="00D552D4">
        <w:rPr>
          <w:rFonts w:ascii="Courier New" w:hAnsi="Courier New" w:cs="Courier New"/>
        </w:rPr>
        <w:t>(</w:t>
      </w:r>
      <w:r w:rsidRPr="00D552D4">
        <w:rPr>
          <w:rFonts w:ascii="Courier New" w:hAnsi="Courier New" w:cs="Courier New"/>
        </w:rPr>
        <w:t>TJ-DF</w:t>
      </w:r>
      <w:r w:rsidRPr="00D552D4">
        <w:rPr>
          <w:rFonts w:ascii="Courier New" w:hAnsi="Courier New" w:cs="Courier New"/>
        </w:rPr>
        <w:t xml:space="preserve"> 07246408820228070000 1670024, Relator: MARIA DE LOURDES ABREU, Data de Julgamento: 07/03/2023, Conselho Especial, Data de Publicação: 16/03/2023)</w:t>
      </w:r>
    </w:p>
    <w:p w:rsidR="00D552D4" w:rsidP="00D552D4" w14:paraId="5ACB673A" w14:textId="77777777">
      <w:pPr>
        <w:spacing w:before="120" w:after="120" w:line="276" w:lineRule="auto"/>
        <w:ind w:firstLine="567"/>
        <w:jc w:val="both"/>
        <w:rPr>
          <w:rFonts w:ascii="Courier New" w:hAnsi="Courier New" w:cs="Courier New"/>
          <w:sz w:val="22"/>
          <w:szCs w:val="22"/>
        </w:rPr>
      </w:pPr>
    </w:p>
    <w:p w:rsidR="00D552D4" w:rsidP="00D552D4" w14:paraId="496666FC" w14:textId="621A3BD4">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E M E N T A: AÇÃO DIRETA DE INCONSTITUCIONALIDADE – LEI ESTADUAL QUE FIXA NOVOS PARÂMETROS REMUNERATÓRIOS A SERVIDORES PÚBLICOS ESTADUAIS – AMPLIAÇÃO DE BENEFÍCIO PECUNIÁRIO RESULTANTE DE EMENDA DE INICIATIVA PARLAMENTAR APROVADA PELA ASSEMBLEIA LEGISLATIVA – CONSEQUENTE AUMENTO DA DESPESA GLOBAL PREVISTA NO PROJETO DE LEI – IMPOSSIBILIDADE CONSTITUCIONAL DESSA MAJORAÇÃO POR EFEITO DE EMENDA DE INICIATIVA PARLAMENTAR – INCIDÊNCIA DA RESTRIÇÃO PREVISTA NO ART. 63, I, DA CONSTITUIÇÃO DA REPUBLICA – A QUESTÃO DAS EMENDAS PARLAMENTARES A PROJETOS DE INICIATIVA RESERVADA A OUTROS PODERES DO ESTADO – POSSIBILIDADE – LIMITAÇÕES QUE INCIDEM SOBRE O PODER DE EMENDAR PROPOSIÇÕES LEGISLATIVAS – DOUTRINA – PRECEDENTES – ATUAÇÃO PROCESSUAL ORDINÁRIA DO ADVOGADO-GERAL DA UNIÃO COMO “CURADOR DA PRESUNÇÃO DE CONSTITUCIONALIDADE” DAS LEIS E ATOS NORMATIVOS ESTATAIS – DESNECESSIDADE, PORÉM, DESSA DEFESA QUANDO O ATO IMPUGNADO VEICULAR MATÉRIA CUJA INCONSTITUCIONALIDADE JÁ TENHA SIDO PRONUNCIADA PELO SUPREMO TRIBUNAL FEDERAL NO EXERCÍCIO DE SUA JURISDIÇÃO CONSTITUCIONAL – REAFIRMAÇÃO DA JURISPRUDÊNCIA CONSOLIDADA PELO SUPREMO TRIBUNAL FEDERAL NO TEMA – PARECER DA PROCURADORIA-GERAL DA REPÚBLICA PELA INCONSTITUCIONALIDADE – AÇÃO DIRETA JULGADA PROCEDENTE.</w:t>
      </w:r>
      <w:r>
        <w:rPr>
          <w:rFonts w:ascii="Courier New" w:hAnsi="Courier New" w:cs="Courier New"/>
        </w:rPr>
        <w:t xml:space="preserve"> </w:t>
      </w:r>
      <w:r w:rsidRPr="00D552D4">
        <w:rPr>
          <w:rFonts w:ascii="Courier New" w:hAnsi="Courier New" w:cs="Courier New"/>
        </w:rPr>
        <w:t>(STF - ADI: 2744 ES 0003771-29.2002.1.00.0000, Relator: CELSO DE MELLO, Data de Julgamento: 01/08/2018, Tribunal Pleno, Data de Publicação: 28/08/2018)</w:t>
      </w:r>
    </w:p>
    <w:p w:rsidR="00D552D4" w:rsidP="00D552D4" w14:paraId="5443D59A" w14:textId="77777777">
      <w:pPr>
        <w:spacing w:before="120" w:after="120" w:line="276" w:lineRule="auto"/>
        <w:ind w:firstLine="567"/>
        <w:jc w:val="both"/>
        <w:rPr>
          <w:rFonts w:ascii="Courier New" w:hAnsi="Courier New" w:cs="Courier New"/>
          <w:sz w:val="22"/>
          <w:szCs w:val="22"/>
        </w:rPr>
      </w:pPr>
    </w:p>
    <w:p w:rsidR="00D552D4" w:rsidP="00D552D4" w14:paraId="7B7188F4"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Doutrinariamente, o poder de emenda é visto como expressão da função legislativa plena. </w:t>
      </w:r>
      <w:r w:rsidRPr="00D552D4">
        <w:rPr>
          <w:rFonts w:ascii="Courier New" w:hAnsi="Courier New" w:cs="Courier New"/>
          <w:b/>
          <w:bCs/>
          <w:sz w:val="22"/>
          <w:szCs w:val="22"/>
        </w:rPr>
        <w:t>Paulo Roberto de Figueiredo Dantas</w:t>
      </w:r>
      <w:r w:rsidRPr="00D552D4">
        <w:rPr>
          <w:rFonts w:ascii="Courier New" w:hAnsi="Courier New" w:cs="Courier New"/>
          <w:sz w:val="22"/>
          <w:szCs w:val="22"/>
        </w:rPr>
        <w:t xml:space="preserve"> leciona que a separação de poderes permite que o Legislativo exerça controle e aperfeiçoamento sobre as propostas enviadas pelos demais órgãos, desde que não desnature a iniciativa original:</w:t>
      </w:r>
    </w:p>
    <w:p w:rsidR="00D552D4" w:rsidP="00D552D4" w14:paraId="12F34415" w14:textId="77777777">
      <w:pPr>
        <w:spacing w:before="120" w:after="120" w:line="276" w:lineRule="auto"/>
        <w:ind w:firstLine="567"/>
        <w:jc w:val="both"/>
        <w:rPr>
          <w:rFonts w:ascii="Courier New" w:hAnsi="Courier New" w:cs="Courier New"/>
          <w:sz w:val="22"/>
          <w:szCs w:val="22"/>
        </w:rPr>
      </w:pPr>
    </w:p>
    <w:p w:rsidR="00D552D4" w:rsidP="00D552D4" w14:paraId="7D56977B" w14:textId="222E92D4">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"E sendo assim, é perfeitamente possível ao Poder Legislativo, ao menos como regra geral, apresentar emendas àqueles projetos de lei de iniciativa exclusiva de outras pessoas ou órgãos. (...) o Supremo Tribunal Federal só admite a apresentação de emendas, pelo Congresso Nacional, caso as normas introduzidas ao texto do projeto de lei guardem relação com o tema por ele tratado e não acarretem, como regra, aumento de despesas ao projeto original." (DANTAS, Paulo Roberto de Figueiredo. Curso de Direito Constitucional - 8ª Ed - 2025. Editora Foco).</w:t>
      </w:r>
    </w:p>
    <w:p w:rsidR="00D552D4" w:rsidRPr="00D552D4" w:rsidP="00D552D4" w14:paraId="0225C080" w14:textId="77777777">
      <w:pPr>
        <w:spacing w:before="120" w:after="120" w:line="276" w:lineRule="auto"/>
        <w:ind w:firstLine="567"/>
        <w:jc w:val="both"/>
        <w:rPr>
          <w:rFonts w:ascii="Courier New" w:hAnsi="Courier New" w:cs="Courier New"/>
          <w:sz w:val="22"/>
          <w:szCs w:val="22"/>
        </w:rPr>
      </w:pPr>
    </w:p>
    <w:p w:rsidR="00D552D4" w:rsidP="00D552D4" w14:paraId="0A31C9A4"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No que tange ao princípio da publicidade e transparência, a doutrina de </w:t>
      </w:r>
      <w:r w:rsidRPr="00D552D4">
        <w:rPr>
          <w:rFonts w:ascii="Courier New" w:hAnsi="Courier New" w:cs="Courier New"/>
          <w:b/>
          <w:bCs/>
          <w:sz w:val="22"/>
          <w:szCs w:val="22"/>
        </w:rPr>
        <w:t>Maria Sylvia Zanella Di Pietro</w:t>
      </w:r>
      <w:r w:rsidRPr="00D552D4">
        <w:rPr>
          <w:rFonts w:ascii="Courier New" w:hAnsi="Courier New" w:cs="Courier New"/>
          <w:sz w:val="22"/>
          <w:szCs w:val="22"/>
        </w:rPr>
        <w:t xml:space="preserve"> reforça que a divulgação </w:t>
      </w:r>
      <w:r w:rsidRPr="00D552D4">
        <w:rPr>
          <w:rFonts w:ascii="Courier New" w:hAnsi="Courier New" w:cs="Courier New"/>
          <w:sz w:val="22"/>
          <w:szCs w:val="22"/>
        </w:rPr>
        <w:t>oficial dos atos é requisito de eficácia e um direito do cidadão e do servidor:</w:t>
      </w:r>
    </w:p>
    <w:p w:rsidR="00D552D4" w:rsidP="00D552D4" w14:paraId="322D61A1" w14:textId="77777777">
      <w:pPr>
        <w:spacing w:before="120" w:after="120" w:line="276" w:lineRule="auto"/>
        <w:ind w:firstLine="567"/>
        <w:jc w:val="both"/>
        <w:rPr>
          <w:rFonts w:ascii="Courier New" w:hAnsi="Courier New" w:cs="Courier New"/>
          <w:sz w:val="22"/>
          <w:szCs w:val="22"/>
        </w:rPr>
      </w:pPr>
    </w:p>
    <w:p w:rsidR="00D552D4" w:rsidP="00D552D4" w14:paraId="0A1B7AE3" w14:textId="0F981BDF">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 xml:space="preserve">"O princípio da publicidade determina que o administrador público divulgue amplamente os seus atos. (...) A segunda exigência é a transparência da atuação administrativa, o que impõe que, em regra, todos têm direito de receber dos órgãos públicos informações de seu interesse ou de interesse coletivo (art. 5º, </w:t>
      </w:r>
      <w:r w:rsidRPr="00D552D4">
        <w:rPr>
          <w:rFonts w:ascii="Courier New" w:hAnsi="Courier New" w:cs="Courier New"/>
        </w:rPr>
        <w:t>XXXIII</w:t>
      </w:r>
      <w:r w:rsidRPr="00D552D4">
        <w:rPr>
          <w:rFonts w:ascii="Courier New" w:hAnsi="Courier New" w:cs="Courier New"/>
        </w:rPr>
        <w:t>, da CF)." (DI PIETRO, Maria Sylvia Zanella. Prática em Direito Administrativo - 3ª Ed - 2025. Editora Foco).</w:t>
      </w:r>
    </w:p>
    <w:p w:rsidR="00D552D4" w:rsidRPr="00D552D4" w:rsidP="00D552D4" w14:paraId="3821F75D" w14:textId="77777777">
      <w:pPr>
        <w:spacing w:before="120" w:after="120" w:line="276" w:lineRule="auto"/>
        <w:ind w:firstLine="567"/>
        <w:jc w:val="both"/>
        <w:rPr>
          <w:rFonts w:ascii="Courier New" w:hAnsi="Courier New" w:cs="Courier New"/>
          <w:sz w:val="22"/>
          <w:szCs w:val="22"/>
        </w:rPr>
      </w:pPr>
    </w:p>
    <w:p w:rsidR="00D552D4" w:rsidRPr="00D552D4" w:rsidP="00D552D4" w14:paraId="3888B34E"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Complementarmente, </w:t>
      </w:r>
      <w:r w:rsidRPr="00D552D4">
        <w:rPr>
          <w:rFonts w:ascii="Courier New" w:hAnsi="Courier New" w:cs="Courier New"/>
          <w:b/>
          <w:bCs/>
          <w:sz w:val="22"/>
          <w:szCs w:val="22"/>
        </w:rPr>
        <w:t>José Afonso da Silva</w:t>
      </w:r>
      <w:r w:rsidRPr="00D552D4">
        <w:rPr>
          <w:rFonts w:ascii="Courier New" w:hAnsi="Courier New" w:cs="Courier New"/>
          <w:sz w:val="22"/>
          <w:szCs w:val="22"/>
        </w:rPr>
        <w:t xml:space="preserve"> destaca que a iniciativa legislativa, uma vez deflagrada, submete o projeto à deliberação soberana do Parlamento, que pode e deve ajustá-lo ao interesse público:</w:t>
      </w:r>
    </w:p>
    <w:p w:rsidR="00D552D4" w:rsidP="00D552D4" w14:paraId="5DE0254E" w14:textId="77777777">
      <w:pPr>
        <w:spacing w:before="120" w:after="120" w:line="276" w:lineRule="auto"/>
        <w:ind w:firstLine="567"/>
        <w:jc w:val="both"/>
        <w:rPr>
          <w:rFonts w:ascii="Courier New" w:hAnsi="Courier New" w:cs="Courier New"/>
          <w:sz w:val="22"/>
          <w:szCs w:val="22"/>
        </w:rPr>
      </w:pPr>
    </w:p>
    <w:p w:rsidR="00D552D4" w:rsidP="00D552D4" w14:paraId="7B041459" w14:textId="685F64F0">
      <w:pPr>
        <w:pBdr>
          <w:left w:val="single" w:sz="4" w:space="4" w:color="auto"/>
          <w:right w:val="single" w:sz="4" w:space="4" w:color="auto"/>
        </w:pBdr>
        <w:ind w:left="1701"/>
        <w:jc w:val="both"/>
        <w:rPr>
          <w:rFonts w:ascii="Courier New" w:hAnsi="Courier New" w:cs="Courier New"/>
        </w:rPr>
      </w:pPr>
      <w:r w:rsidRPr="00D552D4">
        <w:rPr>
          <w:rFonts w:ascii="Courier New" w:hAnsi="Courier New" w:cs="Courier New"/>
        </w:rPr>
        <w:t>"Segundo José Afonso da Silva, a iniciativa se consuma (...) com a apresentação do projeto em Plenário (...) a iniciativa válida gera os seguintes efeitos: a) determinar a ativação do procedimento legislativo; b) determinar a obrigação da Câmara destinatária de submeter o projeto de lei (...) a uma deliberação definitiva qualquer." (SILVA, José Afonso da. Processo constitucional de formação das leis. São Paulo: Malheiros, 2007).</w:t>
      </w:r>
    </w:p>
    <w:p w:rsidR="00D552D4" w:rsidRPr="00D552D4" w:rsidP="00D552D4" w14:paraId="6F537A78" w14:textId="3F025AB4">
      <w:pPr>
        <w:spacing w:before="120" w:after="120" w:line="276" w:lineRule="auto"/>
        <w:ind w:firstLine="567"/>
        <w:jc w:val="both"/>
        <w:rPr>
          <w:rFonts w:ascii="Courier New" w:hAnsi="Courier New" w:cs="Courier New"/>
          <w:sz w:val="22"/>
          <w:szCs w:val="22"/>
        </w:rPr>
      </w:pPr>
    </w:p>
    <w:p w:rsidR="00D552D4" w:rsidRPr="00D552D4" w:rsidP="00D552D4" w14:paraId="041AEC0D"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A emenda fundamenta-se em princípios nacionais, como a </w:t>
      </w:r>
      <w:r w:rsidRPr="00D552D4">
        <w:rPr>
          <w:rFonts w:ascii="Courier New" w:hAnsi="Courier New" w:cs="Courier New"/>
          <w:b/>
          <w:bCs/>
          <w:sz w:val="22"/>
          <w:szCs w:val="22"/>
        </w:rPr>
        <w:t>Moralidade e Eficiência Administrativa (Art. 37, CF)</w:t>
      </w:r>
      <w:r w:rsidRPr="00D552D4">
        <w:rPr>
          <w:rFonts w:ascii="Courier New" w:hAnsi="Courier New" w:cs="Courier New"/>
          <w:sz w:val="22"/>
          <w:szCs w:val="22"/>
        </w:rPr>
        <w:t xml:space="preserve">, e internacionais, como o </w:t>
      </w:r>
      <w:r w:rsidRPr="00D552D4">
        <w:rPr>
          <w:rFonts w:ascii="Courier New" w:hAnsi="Courier New" w:cs="Courier New"/>
          <w:b/>
          <w:bCs/>
          <w:sz w:val="22"/>
          <w:szCs w:val="22"/>
        </w:rPr>
        <w:t>Princípio da Proteção da Confiança Legítima</w:t>
      </w:r>
      <w:r w:rsidRPr="00D552D4">
        <w:rPr>
          <w:rFonts w:ascii="Courier New" w:hAnsi="Courier New" w:cs="Courier New"/>
          <w:sz w:val="22"/>
          <w:szCs w:val="22"/>
        </w:rPr>
        <w:t xml:space="preserve"> e a </w:t>
      </w:r>
      <w:r w:rsidRPr="00D552D4">
        <w:rPr>
          <w:rFonts w:ascii="Courier New" w:hAnsi="Courier New" w:cs="Courier New"/>
          <w:b/>
          <w:bCs/>
          <w:sz w:val="22"/>
          <w:szCs w:val="22"/>
        </w:rPr>
        <w:t>Vedação ao Retrocesso Social</w:t>
      </w:r>
      <w:r w:rsidRPr="00D552D4">
        <w:rPr>
          <w:rFonts w:ascii="Courier New" w:hAnsi="Courier New" w:cs="Courier New"/>
          <w:sz w:val="22"/>
          <w:szCs w:val="22"/>
        </w:rPr>
        <w:t xml:space="preserve">, previstos implicitamente no Pacto de San José da Costa Rica. O letramento da lei é claro: o </w:t>
      </w:r>
      <w:r w:rsidRPr="00D552D4">
        <w:rPr>
          <w:rFonts w:ascii="Courier New" w:hAnsi="Courier New" w:cs="Courier New"/>
          <w:b/>
          <w:bCs/>
          <w:sz w:val="22"/>
          <w:szCs w:val="22"/>
        </w:rPr>
        <w:t>Art. 37, caput, da Constituição Federal</w:t>
      </w:r>
      <w:r w:rsidRPr="00D552D4">
        <w:rPr>
          <w:rFonts w:ascii="Courier New" w:hAnsi="Courier New" w:cs="Courier New"/>
          <w:sz w:val="22"/>
          <w:szCs w:val="22"/>
        </w:rPr>
        <w:t xml:space="preserve"> exige a publicidade dos atos, enquanto o </w:t>
      </w:r>
      <w:r w:rsidRPr="00D552D4">
        <w:rPr>
          <w:rFonts w:ascii="Courier New" w:hAnsi="Courier New" w:cs="Courier New"/>
          <w:b/>
          <w:bCs/>
          <w:sz w:val="22"/>
          <w:szCs w:val="22"/>
        </w:rPr>
        <w:t xml:space="preserve">Art. 5º, inciso </w:t>
      </w:r>
      <w:r w:rsidRPr="00D552D4">
        <w:rPr>
          <w:rFonts w:ascii="Courier New" w:hAnsi="Courier New" w:cs="Courier New"/>
          <w:b/>
          <w:bCs/>
          <w:sz w:val="22"/>
          <w:szCs w:val="22"/>
        </w:rPr>
        <w:t>XXXIII</w:t>
      </w:r>
      <w:r w:rsidRPr="00D552D4">
        <w:rPr>
          <w:rFonts w:ascii="Courier New" w:hAnsi="Courier New" w:cs="Courier New"/>
          <w:sz w:val="22"/>
          <w:szCs w:val="22"/>
        </w:rPr>
        <w:t xml:space="preserve">, garante o acesso à informação. Além disso, a natureza alimentar das verbas remuneratórias impõe a preservação de seu valor real, conforme se extrai da interpretação do </w:t>
      </w:r>
      <w:r w:rsidRPr="00D552D4">
        <w:rPr>
          <w:rFonts w:ascii="Courier New" w:hAnsi="Courier New" w:cs="Courier New"/>
          <w:b/>
          <w:bCs/>
          <w:sz w:val="22"/>
          <w:szCs w:val="22"/>
        </w:rPr>
        <w:t>Art. 100, §1º, da CF</w:t>
      </w:r>
      <w:r w:rsidRPr="00D552D4">
        <w:rPr>
          <w:rFonts w:ascii="Courier New" w:hAnsi="Courier New" w:cs="Courier New"/>
          <w:sz w:val="22"/>
          <w:szCs w:val="22"/>
        </w:rPr>
        <w:t>.</w:t>
      </w:r>
    </w:p>
    <w:p w:rsidR="00D552D4" w:rsidRPr="00D552D4" w:rsidP="00D552D4" w14:paraId="3CD26237" w14:textId="77777777">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Para ilustrar a aplicação prática desta justificativa, socorremo-nos de brocardos latinos que sintetizam o espírito da norma:</w:t>
      </w:r>
    </w:p>
    <w:p w:rsidR="00D552D4" w:rsidRPr="00D552D4" w:rsidP="00D552D4" w14:paraId="6E0EA54E" w14:textId="77777777">
      <w:pPr>
        <w:numPr>
          <w:ilvl w:val="0"/>
          <w:numId w:val="11"/>
        </w:numPr>
        <w:tabs>
          <w:tab w:val="clear" w:pos="720"/>
        </w:tabs>
        <w:spacing w:before="120" w:after="120" w:line="276" w:lineRule="auto"/>
        <w:ind w:left="993" w:hanging="426"/>
        <w:jc w:val="both"/>
        <w:rPr>
          <w:rFonts w:ascii="Courier New" w:hAnsi="Courier New" w:cs="Courier New"/>
          <w:sz w:val="22"/>
          <w:szCs w:val="22"/>
        </w:rPr>
      </w:pPr>
      <w:r w:rsidRPr="00D552D4">
        <w:rPr>
          <w:rFonts w:ascii="Courier New" w:hAnsi="Courier New" w:cs="Courier New"/>
          <w:b/>
          <w:bCs/>
          <w:i/>
          <w:iCs/>
          <w:sz w:val="22"/>
          <w:szCs w:val="22"/>
        </w:rPr>
        <w:t>Pacta sunt servanda</w:t>
      </w:r>
      <w:r w:rsidRPr="00D552D4">
        <w:rPr>
          <w:rFonts w:ascii="Courier New" w:hAnsi="Courier New" w:cs="Courier New"/>
          <w:sz w:val="22"/>
          <w:szCs w:val="22"/>
        </w:rPr>
        <w:t xml:space="preserve"> (Os acordos devem ser cumpridos): Reflete o dever da Administração de honrar o tempo de serviço prestado, restaurando o equilíbrio da relação funcional após o período excepcional da pandemia.</w:t>
      </w:r>
    </w:p>
    <w:p w:rsidR="00D552D4" w:rsidRPr="00D552D4" w:rsidP="00D552D4" w14:paraId="42E88C8F" w14:textId="77777777">
      <w:pPr>
        <w:numPr>
          <w:ilvl w:val="0"/>
          <w:numId w:val="11"/>
        </w:numPr>
        <w:tabs>
          <w:tab w:val="clear" w:pos="720"/>
        </w:tabs>
        <w:spacing w:before="120" w:after="120" w:line="276" w:lineRule="auto"/>
        <w:ind w:left="993" w:hanging="426"/>
        <w:jc w:val="both"/>
        <w:rPr>
          <w:rFonts w:ascii="Courier New" w:hAnsi="Courier New" w:cs="Courier New"/>
          <w:sz w:val="22"/>
          <w:szCs w:val="22"/>
        </w:rPr>
      </w:pPr>
      <w:r w:rsidRPr="00D552D4">
        <w:rPr>
          <w:rFonts w:ascii="Courier New" w:hAnsi="Courier New" w:cs="Courier New"/>
          <w:b/>
          <w:bCs/>
          <w:i/>
          <w:iCs/>
          <w:sz w:val="22"/>
          <w:szCs w:val="22"/>
        </w:rPr>
        <w:t>Ubi</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eadem</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ratio</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ibi</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eadem</w:t>
      </w:r>
      <w:r w:rsidRPr="00D552D4">
        <w:rPr>
          <w:rFonts w:ascii="Courier New" w:hAnsi="Courier New" w:cs="Courier New"/>
          <w:b/>
          <w:bCs/>
          <w:i/>
          <w:iCs/>
          <w:sz w:val="22"/>
          <w:szCs w:val="22"/>
        </w:rPr>
        <w:t xml:space="preserve"> legis </w:t>
      </w:r>
      <w:r w:rsidRPr="00D552D4">
        <w:rPr>
          <w:rFonts w:ascii="Courier New" w:hAnsi="Courier New" w:cs="Courier New"/>
          <w:b/>
          <w:bCs/>
          <w:i/>
          <w:iCs/>
          <w:sz w:val="22"/>
          <w:szCs w:val="22"/>
        </w:rPr>
        <w:t>dispositio</w:t>
      </w:r>
      <w:r w:rsidRPr="00D552D4">
        <w:rPr>
          <w:rFonts w:ascii="Courier New" w:hAnsi="Courier New" w:cs="Courier New"/>
          <w:sz w:val="22"/>
          <w:szCs w:val="22"/>
        </w:rPr>
        <w:t xml:space="preserve"> (Onde existe a mesma razão, deve prevalecer a mesma disposição legal): Se a lei federal autorizou o restabelecimento do tempo, a norma municipal deve garantir que esse direito seja exercido com a mesma dignidade e correção monetária aplicada a outras verbas alimentares.</w:t>
      </w:r>
    </w:p>
    <w:p w:rsidR="00D552D4" w:rsidRPr="00D552D4" w:rsidP="00D552D4" w14:paraId="6E652117" w14:textId="77777777">
      <w:pPr>
        <w:numPr>
          <w:ilvl w:val="0"/>
          <w:numId w:val="11"/>
        </w:numPr>
        <w:tabs>
          <w:tab w:val="clear" w:pos="720"/>
        </w:tabs>
        <w:spacing w:before="120" w:after="120" w:line="276" w:lineRule="auto"/>
        <w:ind w:left="993" w:hanging="426"/>
        <w:jc w:val="both"/>
        <w:rPr>
          <w:rFonts w:ascii="Courier New" w:hAnsi="Courier New" w:cs="Courier New"/>
          <w:sz w:val="22"/>
          <w:szCs w:val="22"/>
        </w:rPr>
      </w:pPr>
      <w:r w:rsidRPr="00D552D4">
        <w:rPr>
          <w:rFonts w:ascii="Courier New" w:hAnsi="Courier New" w:cs="Courier New"/>
          <w:b/>
          <w:bCs/>
          <w:i/>
          <w:iCs/>
          <w:sz w:val="22"/>
          <w:szCs w:val="22"/>
        </w:rPr>
        <w:t xml:space="preserve">Dura </w:t>
      </w:r>
      <w:r w:rsidRPr="00D552D4">
        <w:rPr>
          <w:rFonts w:ascii="Courier New" w:hAnsi="Courier New" w:cs="Courier New"/>
          <w:b/>
          <w:bCs/>
          <w:i/>
          <w:iCs/>
          <w:sz w:val="22"/>
          <w:szCs w:val="22"/>
        </w:rPr>
        <w:t>lex</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sed</w:t>
      </w:r>
      <w:r w:rsidRPr="00D552D4">
        <w:rPr>
          <w:rFonts w:ascii="Courier New" w:hAnsi="Courier New" w:cs="Courier New"/>
          <w:b/>
          <w:bCs/>
          <w:i/>
          <w:iCs/>
          <w:sz w:val="22"/>
          <w:szCs w:val="22"/>
        </w:rPr>
        <w:t xml:space="preserve"> </w:t>
      </w:r>
      <w:r w:rsidRPr="00D552D4">
        <w:rPr>
          <w:rFonts w:ascii="Courier New" w:hAnsi="Courier New" w:cs="Courier New"/>
          <w:b/>
          <w:bCs/>
          <w:i/>
          <w:iCs/>
          <w:sz w:val="22"/>
          <w:szCs w:val="22"/>
        </w:rPr>
        <w:t>lex</w:t>
      </w:r>
      <w:r w:rsidRPr="00D552D4">
        <w:rPr>
          <w:rFonts w:ascii="Courier New" w:hAnsi="Courier New" w:cs="Courier New"/>
          <w:sz w:val="22"/>
          <w:szCs w:val="22"/>
        </w:rPr>
        <w:t xml:space="preserve"> (A lei é dura, mas é a lei): Embora a suspensão pela LC 173/2020 tenha sido rigorosa, a nova ordem jurídica imposta pela LC 226/2026 deve ser cumprida com igual rigor para restaurar a justiça aos servidores.</w:t>
      </w:r>
    </w:p>
    <w:p w:rsidR="00491493" w:rsidP="00D365E5" w14:paraId="7EB21F3D" w14:textId="01433ABB">
      <w:pPr>
        <w:spacing w:before="120" w:after="120" w:line="276" w:lineRule="auto"/>
        <w:ind w:firstLine="567"/>
        <w:jc w:val="both"/>
        <w:rPr>
          <w:rFonts w:ascii="Courier New" w:hAnsi="Courier New" w:cs="Courier New"/>
          <w:sz w:val="22"/>
          <w:szCs w:val="22"/>
        </w:rPr>
      </w:pPr>
      <w:r w:rsidRPr="00D552D4">
        <w:rPr>
          <w:rFonts w:ascii="Courier New" w:hAnsi="Courier New" w:cs="Courier New"/>
          <w:sz w:val="22"/>
          <w:szCs w:val="22"/>
        </w:rPr>
        <w:t xml:space="preserve">Diante do exposto, a emenda aditiva é medida de rigor para garantir que o </w:t>
      </w:r>
      <w:r w:rsidRPr="00D552D4">
        <w:rPr>
          <w:rFonts w:ascii="Courier New" w:hAnsi="Courier New" w:cs="Courier New"/>
          <w:b/>
          <w:bCs/>
          <w:sz w:val="22"/>
          <w:szCs w:val="22"/>
        </w:rPr>
        <w:t>Projeto de Lei nº 36/2026</w:t>
      </w:r>
      <w:r w:rsidRPr="00D552D4">
        <w:rPr>
          <w:rFonts w:ascii="Courier New" w:hAnsi="Courier New" w:cs="Courier New"/>
          <w:sz w:val="22"/>
          <w:szCs w:val="22"/>
        </w:rPr>
        <w:t xml:space="preserve"> cumpra sua função social e administrativa com a máxima transparência e respeito ao servidor público.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323317E4"/>
    <w:multiLevelType w:val="multilevel"/>
    <w:tmpl w:val="1854B3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9">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9"/>
  </w:num>
  <w:num w:numId="2">
    <w:abstractNumId w:val="10"/>
  </w:num>
  <w:num w:numId="3">
    <w:abstractNumId w:val="7"/>
  </w:num>
  <w:num w:numId="4">
    <w:abstractNumId w:val="5"/>
  </w:num>
  <w:num w:numId="5">
    <w:abstractNumId w:val="0"/>
  </w:num>
  <w:num w:numId="6">
    <w:abstractNumId w:val="8"/>
  </w:num>
  <w:num w:numId="7">
    <w:abstractNumId w:val="4"/>
  </w:num>
  <w:num w:numId="8">
    <w:abstractNumId w:val="6"/>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43256"/>
    <w:rsid w:val="00056D9C"/>
    <w:rsid w:val="00066D52"/>
    <w:rsid w:val="00076553"/>
    <w:rsid w:val="0008637B"/>
    <w:rsid w:val="000B4EDA"/>
    <w:rsid w:val="000B5735"/>
    <w:rsid w:val="000D417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401038"/>
    <w:rsid w:val="00402140"/>
    <w:rsid w:val="00426E1A"/>
    <w:rsid w:val="00452524"/>
    <w:rsid w:val="004622A3"/>
    <w:rsid w:val="00465074"/>
    <w:rsid w:val="00465614"/>
    <w:rsid w:val="00466795"/>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5897"/>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4DB"/>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552D4"/>
    <w:rsid w:val="00D64727"/>
    <w:rsid w:val="00D64BE1"/>
    <w:rsid w:val="00D706B5"/>
    <w:rsid w:val="00D73096"/>
    <w:rsid w:val="00D80661"/>
    <w:rsid w:val="00D852D2"/>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D635A"/>
    <w:rsid w:val="00EE21B7"/>
    <w:rsid w:val="00EE29C1"/>
    <w:rsid w:val="00EF46EB"/>
    <w:rsid w:val="00F41235"/>
    <w:rsid w:val="00F518ED"/>
    <w:rsid w:val="00F55401"/>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2D4"/>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6</Pages>
  <Words>2059</Words>
  <Characters>11120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71</cp:revision>
  <cp:lastPrinted>2026-05-15T11:47:53Z</cp:lastPrinted>
  <dcterms:created xsi:type="dcterms:W3CDTF">2026-01-09T01:35:00Z</dcterms:created>
  <dcterms:modified xsi:type="dcterms:W3CDTF">2026-05-15T01:54:00Z</dcterms:modified>
</cp:coreProperties>
</file>