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1 ao Projeto de Lei Nº 40/2026</w:t>
      </w:r>
      <w:r w:rsidRPr="00465074">
        <w:rPr>
          <w:rFonts w:ascii="Courier New" w:hAnsi="Courier New" w:cs="Courier New"/>
          <w:b/>
          <w:bCs/>
          <w:kern w:val="3"/>
          <w:sz w:val="24"/>
          <w:szCs w:val="24"/>
        </w:rPr>
        <w:t>Emenda Nº 1 ao Projeto de Lei Nº 40/2026</w:t>
      </w: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08EFA873">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2C7266" w:rsidR="002C7266">
        <w:rPr>
          <w:rFonts w:ascii="Courier New" w:hAnsi="Courier New" w:cs="Courier New"/>
          <w:i/>
          <w:iCs/>
          <w:kern w:val="3"/>
          <w:sz w:val="22"/>
          <w:szCs w:val="22"/>
        </w:rPr>
        <w:t>EMENDA MODIFICATIVA AO PROJETO DE LEI Nº 40/2026</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74947FA4">
      <w:pPr>
        <w:spacing w:before="120" w:after="120" w:line="276" w:lineRule="auto"/>
        <w:ind w:firstLine="708"/>
        <w:jc w:val="both"/>
        <w:rPr>
          <w:rFonts w:ascii="Courier New" w:hAnsi="Courier New" w:cs="Courier New"/>
          <w:sz w:val="22"/>
          <w:szCs w:val="22"/>
        </w:rPr>
      </w:pPr>
      <w:r w:rsidRPr="002C7266">
        <w:rPr>
          <w:rFonts w:ascii="Courier New" w:hAnsi="Courier New" w:cs="Courier New"/>
          <w:sz w:val="22"/>
          <w:szCs w:val="22"/>
        </w:rPr>
        <w:t>Modifica a redação do Artigo 3º do Projeto de Lei nº 40/2026, que passa a vigorar 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88408C" w:rsidP="00010A9F" w14:paraId="6612735D" w14:textId="3DADAC97">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0D4177" w:rsidR="000D4177">
        <w:rPr>
          <w:rFonts w:ascii="Courier New" w:hAnsi="Courier New" w:cs="Courier New"/>
          <w:b/>
          <w:bCs/>
          <w:sz w:val="22"/>
          <w:szCs w:val="22"/>
        </w:rPr>
        <w:t xml:space="preserve">Art. </w:t>
      </w:r>
      <w:r w:rsidR="002C7266">
        <w:rPr>
          <w:rFonts w:ascii="Courier New" w:hAnsi="Courier New" w:cs="Courier New"/>
          <w:b/>
          <w:bCs/>
          <w:sz w:val="22"/>
          <w:szCs w:val="22"/>
        </w:rPr>
        <w:t>3</w:t>
      </w:r>
      <w:r w:rsidR="002C6AAE">
        <w:rPr>
          <w:rFonts w:ascii="Courier New" w:hAnsi="Courier New" w:cs="Courier New"/>
          <w:b/>
          <w:bCs/>
          <w:sz w:val="22"/>
          <w:szCs w:val="22"/>
        </w:rPr>
        <w:t>º</w:t>
      </w:r>
      <w:r w:rsidRPr="001604C3" w:rsidR="001604C3">
        <w:rPr>
          <w:rFonts w:ascii="Courier New" w:hAnsi="Courier New" w:cs="Courier New"/>
          <w:sz w:val="22"/>
          <w:szCs w:val="22"/>
        </w:rPr>
        <w:t xml:space="preserve"> </w:t>
      </w:r>
      <w:r w:rsidRPr="002C7266" w:rsidR="002C7266">
        <w:rPr>
          <w:rFonts w:ascii="Courier New" w:hAnsi="Courier New" w:cs="Courier New"/>
          <w:sz w:val="22"/>
          <w:szCs w:val="22"/>
        </w:rPr>
        <w:t xml:space="preserve">As despesas decorrentes da execução da presente Lei correrão por conta de dotações orçamentárias próprias da Secretaria Municipal de Obras, suplementadas se necessário, devendo a Administração Municipal observar a estrita finalidade dos recursos, vedada a transposição </w:t>
      </w:r>
      <w:r w:rsidR="002C7266">
        <w:rPr>
          <w:rFonts w:ascii="Courier New" w:hAnsi="Courier New" w:cs="Courier New"/>
          <w:sz w:val="22"/>
          <w:szCs w:val="22"/>
        </w:rPr>
        <w:t xml:space="preserve">e/ou </w:t>
      </w:r>
      <w:r w:rsidRPr="002C7266" w:rsidR="002C7266">
        <w:rPr>
          <w:rFonts w:ascii="Courier New" w:hAnsi="Courier New" w:cs="Courier New"/>
          <w:sz w:val="22"/>
          <w:szCs w:val="22"/>
        </w:rPr>
        <w:t xml:space="preserve">utilização de </w:t>
      </w:r>
      <w:r w:rsidR="002C7266">
        <w:rPr>
          <w:rFonts w:ascii="Courier New" w:hAnsi="Courier New" w:cs="Courier New"/>
          <w:sz w:val="22"/>
          <w:szCs w:val="22"/>
        </w:rPr>
        <w:t>valores</w:t>
      </w:r>
      <w:r w:rsidRPr="002C7266" w:rsidR="002C7266">
        <w:rPr>
          <w:rFonts w:ascii="Courier New" w:hAnsi="Courier New" w:cs="Courier New"/>
          <w:sz w:val="22"/>
          <w:szCs w:val="22"/>
        </w:rPr>
        <w:t xml:space="preserve"> vinculados ao Fundo Municipal de Habitação ou dotações destinadas a programas habitacionais de interesse social para a finalidade desta desapropriação.</w:t>
      </w:r>
      <w:r w:rsidR="000D4177">
        <w:rPr>
          <w:rFonts w:ascii="Courier New" w:hAnsi="Courier New" w:cs="Courier New"/>
          <w:sz w:val="22"/>
          <w:szCs w:val="22"/>
        </w:rPr>
        <w:t>”</w:t>
      </w: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17321988">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15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89922"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6C3DD0" w:rsidP="006C3DD0" w14:paraId="0D78A5C8" w14:textId="77777777">
      <w:pPr>
        <w:spacing w:before="120" w:after="120" w:line="276" w:lineRule="auto"/>
        <w:ind w:firstLine="567"/>
        <w:jc w:val="both"/>
        <w:rPr>
          <w:rFonts w:ascii="Courier New" w:hAnsi="Courier New" w:cs="Courier New"/>
          <w:sz w:val="22"/>
          <w:szCs w:val="22"/>
        </w:rPr>
      </w:pPr>
      <w:r w:rsidRPr="006C3DD0">
        <w:rPr>
          <w:rFonts w:ascii="Courier New" w:hAnsi="Courier New" w:cs="Courier New"/>
          <w:sz w:val="22"/>
          <w:szCs w:val="22"/>
        </w:rPr>
        <w:t xml:space="preserve">A presente emenda modificativa tem por objetivo fundamental assegurar que os recursos públicos sejam aplicados com estrita observância à sua finalidade legal, protegendo o </w:t>
      </w:r>
      <w:r w:rsidRPr="006C3DD0">
        <w:rPr>
          <w:rFonts w:ascii="Courier New" w:hAnsi="Courier New" w:cs="Courier New"/>
          <w:b/>
          <w:bCs/>
          <w:sz w:val="22"/>
          <w:szCs w:val="22"/>
        </w:rPr>
        <w:t>Fundo Municipal de Habitação</w:t>
      </w:r>
      <w:r w:rsidRPr="006C3DD0">
        <w:rPr>
          <w:rFonts w:ascii="Courier New" w:hAnsi="Courier New" w:cs="Courier New"/>
          <w:sz w:val="22"/>
          <w:szCs w:val="22"/>
        </w:rPr>
        <w:t xml:space="preserve"> de qualquer desvio para obras de infraestrutura viária.</w:t>
      </w:r>
    </w:p>
    <w:p w:rsidR="006C3DD0" w:rsidRPr="006C3DD0" w:rsidP="006C3DD0" w14:paraId="1AEB6A81" w14:textId="69D0E1F0">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A</w:t>
      </w:r>
      <w:r w:rsidRPr="006C3DD0">
        <w:rPr>
          <w:rFonts w:ascii="Courier New" w:hAnsi="Courier New" w:cs="Courier New"/>
          <w:sz w:val="22"/>
          <w:szCs w:val="22"/>
        </w:rPr>
        <w:t xml:space="preserve"> construção de uma ponte, embora essencial, não pode sacrificar o orçamento destinado a reduzir o déficit habitacional de nossa cidade, especialmente quando a Secretaria de Obras possui dotação própria e superior para tal fim, garantindo assim que cada centavo seja gasto onde a lei e o interesse social originário determinaram.</w:t>
      </w:r>
    </w:p>
    <w:p w:rsidR="006C3DD0" w:rsidP="006C3DD0" w14:paraId="5DDA8A1C" w14:textId="77777777">
      <w:pPr>
        <w:spacing w:before="120" w:after="120" w:line="276" w:lineRule="auto"/>
        <w:ind w:firstLine="567"/>
        <w:jc w:val="both"/>
        <w:rPr>
          <w:rFonts w:ascii="Courier New" w:hAnsi="Courier New" w:cs="Courier New"/>
          <w:sz w:val="22"/>
          <w:szCs w:val="22"/>
        </w:rPr>
      </w:pPr>
      <w:r w:rsidRPr="006C3DD0">
        <w:rPr>
          <w:rFonts w:ascii="Courier New" w:hAnsi="Courier New" w:cs="Courier New"/>
          <w:sz w:val="22"/>
          <w:szCs w:val="22"/>
        </w:rPr>
        <w:t xml:space="preserve">A propositura não padece de qualquer vício de iniciativa, uma vez que o Poder Legislativo possui a prerrogativa de emendar projetos do Executivo para garantir a legalidade orçamentária e a pertinência temática, sem gerar aumento de despesa. Nesse sentido, o </w:t>
      </w:r>
      <w:r w:rsidRPr="006C3DD0">
        <w:rPr>
          <w:rFonts w:ascii="Courier New" w:hAnsi="Courier New" w:cs="Courier New"/>
          <w:b/>
          <w:bCs/>
          <w:sz w:val="22"/>
          <w:szCs w:val="22"/>
        </w:rPr>
        <w:t>Tribunal de Justiça de São Paulo</w:t>
      </w:r>
      <w:r w:rsidRPr="006C3DD0">
        <w:rPr>
          <w:rFonts w:ascii="Courier New" w:hAnsi="Courier New" w:cs="Courier New"/>
          <w:sz w:val="22"/>
          <w:szCs w:val="22"/>
        </w:rPr>
        <w:t xml:space="preserve"> consolidou o entendimento de que emendas modificativas que guardam pertinência com o projeto original e não majoram custos são plenamente constitucionais</w:t>
      </w:r>
      <w:r>
        <w:rPr>
          <w:rFonts w:ascii="Courier New" w:hAnsi="Courier New" w:cs="Courier New"/>
          <w:sz w:val="22"/>
          <w:szCs w:val="22"/>
        </w:rPr>
        <w:t>:</w:t>
      </w:r>
    </w:p>
    <w:p w:rsidR="006C3DD0" w:rsidP="006C3DD0" w14:paraId="79649964" w14:textId="77777777">
      <w:pPr>
        <w:spacing w:before="120" w:after="120" w:line="276" w:lineRule="auto"/>
        <w:ind w:firstLine="567"/>
        <w:jc w:val="both"/>
        <w:rPr>
          <w:rFonts w:ascii="Courier New" w:hAnsi="Courier New" w:cs="Courier New"/>
          <w:sz w:val="22"/>
          <w:szCs w:val="22"/>
        </w:rPr>
      </w:pPr>
    </w:p>
    <w:p w:rsidR="006C3DD0" w:rsidP="006C3DD0" w14:paraId="7D87EE96" w14:textId="15BCD338">
      <w:pPr>
        <w:pBdr>
          <w:left w:val="single" w:sz="4" w:space="4" w:color="auto"/>
          <w:right w:val="single" w:sz="4" w:space="4" w:color="auto"/>
        </w:pBdr>
        <w:ind w:left="1701"/>
        <w:jc w:val="both"/>
        <w:rPr>
          <w:rFonts w:ascii="Courier New" w:hAnsi="Courier New" w:cs="Courier New"/>
        </w:rPr>
      </w:pPr>
      <w:r w:rsidRPr="006C3DD0">
        <w:rPr>
          <w:rFonts w:ascii="Courier New" w:hAnsi="Courier New" w:cs="Courier New"/>
        </w:rPr>
        <w:t xml:space="preserve">1. Ação direta de inconstitucionalidade proposta pelo Prefeito Municipal de Santa Cruz da Esperança, contra a Lei Municipal n. 525/2022. 2. ação julgada procedente em parte. 3. emendas parlamentares a projeto de lei de iniciativa do chefe do executivo. limites. necessidade de observar pertinência temática e não implicar aumento de despesas. 4. emendas modificativas que guardam pertinência temática e que não acarretam majoração das despesas. inconstitucionalidade não verificada. 5. emenda aditiva que estende o pagamento de diárias a servidores não abrangidos pela redação original do projeto. aumento de despesas configurado. tema 686 do </w:t>
      </w:r>
      <w:r w:rsidRPr="006C3DD0">
        <w:rPr>
          <w:rFonts w:ascii="Courier New" w:hAnsi="Courier New" w:cs="Courier New"/>
        </w:rPr>
        <w:t>stf</w:t>
      </w:r>
      <w:r w:rsidRPr="006C3DD0">
        <w:rPr>
          <w:rFonts w:ascii="Courier New" w:hAnsi="Courier New" w:cs="Courier New"/>
        </w:rPr>
        <w:t>. inconstitucionalidade formal. 6. ação julgada procedente em parte.</w:t>
      </w:r>
      <w:r>
        <w:rPr>
          <w:rFonts w:ascii="Courier New" w:hAnsi="Courier New" w:cs="Courier New"/>
        </w:rPr>
        <w:t xml:space="preserve"> </w:t>
      </w:r>
      <w:r w:rsidRPr="006C3DD0">
        <w:rPr>
          <w:rFonts w:ascii="Courier New" w:hAnsi="Courier New" w:cs="Courier New"/>
        </w:rPr>
        <w:t>(</w:t>
      </w:r>
      <w:r w:rsidRPr="006C3DD0">
        <w:rPr>
          <w:rFonts w:ascii="Courier New" w:hAnsi="Courier New" w:cs="Courier New"/>
        </w:rPr>
        <w:t>TJ-SP</w:t>
      </w:r>
      <w:r w:rsidRPr="006C3DD0">
        <w:rPr>
          <w:rFonts w:ascii="Courier New" w:hAnsi="Courier New" w:cs="Courier New"/>
        </w:rPr>
        <w:t xml:space="preserve"> - Direta de Inconstitucionalidade: 2099163-16.2023.8.26.0000 São Paulo, Relator: Campos Mello, Data de Julgamento: 16/08/2023, Órgão Especial, Data de Publicação: 17/08/2023)</w:t>
      </w:r>
    </w:p>
    <w:p w:rsidR="006C3DD0" w:rsidP="006C3DD0" w14:paraId="59374E0C" w14:textId="77777777">
      <w:pPr>
        <w:spacing w:before="120" w:after="120" w:line="276" w:lineRule="auto"/>
        <w:ind w:firstLine="567"/>
        <w:jc w:val="both"/>
        <w:rPr>
          <w:rFonts w:ascii="Courier New" w:hAnsi="Courier New" w:cs="Courier New"/>
          <w:sz w:val="22"/>
          <w:szCs w:val="22"/>
        </w:rPr>
      </w:pPr>
    </w:p>
    <w:p w:rsidR="006C3DD0" w:rsidP="006C3DD0" w14:paraId="4FCCECB7" w14:textId="23F14158">
      <w:pPr>
        <w:spacing w:before="120" w:after="120" w:line="276" w:lineRule="auto"/>
        <w:ind w:firstLine="567"/>
        <w:jc w:val="both"/>
        <w:rPr>
          <w:rFonts w:ascii="Courier New" w:hAnsi="Courier New" w:cs="Courier New"/>
          <w:sz w:val="22"/>
          <w:szCs w:val="22"/>
        </w:rPr>
      </w:pPr>
      <w:r w:rsidRPr="006C3DD0">
        <w:rPr>
          <w:rFonts w:ascii="Courier New" w:hAnsi="Courier New" w:cs="Courier New"/>
          <w:sz w:val="22"/>
          <w:szCs w:val="22"/>
        </w:rPr>
        <w:t>Reforça-se que a emenda parlamentar é legítima quando atende aos limites de não criar gastos novos, agindo como instrumento de fiscalização</w:t>
      </w:r>
      <w:r>
        <w:rPr>
          <w:rFonts w:ascii="Courier New" w:hAnsi="Courier New" w:cs="Courier New"/>
          <w:sz w:val="22"/>
          <w:szCs w:val="22"/>
        </w:rPr>
        <w:t>:</w:t>
      </w:r>
    </w:p>
    <w:p w:rsidR="006C3DD0" w:rsidP="006C3DD0" w14:paraId="47B59B70" w14:textId="77777777">
      <w:pPr>
        <w:spacing w:before="120" w:after="120" w:line="276" w:lineRule="auto"/>
        <w:ind w:firstLine="567"/>
        <w:jc w:val="both"/>
        <w:rPr>
          <w:rFonts w:ascii="Courier New" w:hAnsi="Courier New" w:cs="Courier New"/>
          <w:sz w:val="22"/>
          <w:szCs w:val="22"/>
        </w:rPr>
      </w:pPr>
    </w:p>
    <w:p w:rsidR="006C3DD0" w:rsidP="006C3DD0" w14:paraId="37EEDB79" w14:textId="61DDD84D">
      <w:pPr>
        <w:pBdr>
          <w:left w:val="single" w:sz="4" w:space="4" w:color="auto"/>
          <w:right w:val="single" w:sz="4" w:space="4" w:color="auto"/>
        </w:pBdr>
        <w:ind w:left="1701"/>
        <w:jc w:val="both"/>
        <w:rPr>
          <w:rFonts w:ascii="Courier New" w:hAnsi="Courier New" w:cs="Courier New"/>
        </w:rPr>
      </w:pPr>
      <w:r w:rsidRPr="006C3DD0">
        <w:rPr>
          <w:rFonts w:ascii="Courier New" w:hAnsi="Courier New" w:cs="Courier New"/>
        </w:rPr>
        <w:t xml:space="preserve">DIRETA DE INCONSTITUCIONALIDADE. Município de Ubatuba. Emenda parlamentar apresentada no projeto de Lei nº 113/2021. Alegação de inconstitucionalidade da alteração legislativa apresentada pela edilidade, consistente na expressão "e inativos a partir de 29 de março de 1994", presente no artigo 381, da Lei Municipal nº 4.418/21, de 17 de setembro de 2021. Inocorrência. Ausência de vício formal de iniciativa. Hipótese dos autos em que a emenda parlamentar atendeu aos limites constitucionais relativos à pertinência temática do projeto de lei remetido </w:t>
      </w:r>
      <w:r w:rsidRPr="006C3DD0">
        <w:rPr>
          <w:rFonts w:ascii="Courier New" w:hAnsi="Courier New" w:cs="Courier New"/>
        </w:rPr>
        <w:t xml:space="preserve">pelo Chefe do Poder Executivo, além de não ter implicado a criação ou o aumento de despesas. Observância, in </w:t>
      </w:r>
      <w:r w:rsidRPr="006C3DD0">
        <w:rPr>
          <w:rFonts w:ascii="Courier New" w:hAnsi="Courier New" w:cs="Courier New"/>
        </w:rPr>
        <w:t>casu</w:t>
      </w:r>
      <w:r w:rsidRPr="006C3DD0">
        <w:rPr>
          <w:rFonts w:ascii="Courier New" w:hAnsi="Courier New" w:cs="Courier New"/>
        </w:rPr>
        <w:t>, dos limites ao poder de emenda parlamentar. AÇÃO IMPROCEDENTE.</w:t>
      </w:r>
      <w:r>
        <w:rPr>
          <w:rFonts w:ascii="Courier New" w:hAnsi="Courier New" w:cs="Courier New"/>
        </w:rPr>
        <w:t xml:space="preserve"> </w:t>
      </w:r>
      <w:r w:rsidRPr="006C3DD0">
        <w:rPr>
          <w:rFonts w:ascii="Courier New" w:hAnsi="Courier New" w:cs="Courier New"/>
        </w:rPr>
        <w:t>(</w:t>
      </w:r>
      <w:r w:rsidRPr="006C3DD0">
        <w:rPr>
          <w:rFonts w:ascii="Courier New" w:hAnsi="Courier New" w:cs="Courier New"/>
        </w:rPr>
        <w:t>TJ-SP</w:t>
      </w:r>
      <w:r w:rsidRPr="006C3DD0">
        <w:rPr>
          <w:rFonts w:ascii="Courier New" w:hAnsi="Courier New" w:cs="Courier New"/>
        </w:rPr>
        <w:t xml:space="preserve"> - ADI: 22889434320218260000 São Paulo, Relator: Jarbas Gomes, Órgão Especial, Data de Publicação: 30/06/2022)</w:t>
      </w:r>
    </w:p>
    <w:p w:rsidR="006C3DD0" w:rsidP="006C3DD0" w14:paraId="530F6BC5" w14:textId="77777777">
      <w:pPr>
        <w:spacing w:before="120" w:after="120" w:line="276" w:lineRule="auto"/>
        <w:ind w:firstLine="567"/>
        <w:jc w:val="both"/>
        <w:rPr>
          <w:rFonts w:ascii="Courier New" w:hAnsi="Courier New" w:cs="Courier New"/>
          <w:sz w:val="22"/>
          <w:szCs w:val="22"/>
        </w:rPr>
      </w:pPr>
    </w:p>
    <w:p w:rsidR="006C3DD0" w:rsidRPr="006C3DD0" w:rsidP="006C3DD0" w14:paraId="27EE1D37" w14:textId="06F71428">
      <w:pPr>
        <w:spacing w:before="120" w:after="120" w:line="276" w:lineRule="auto"/>
        <w:ind w:firstLine="567"/>
        <w:jc w:val="both"/>
        <w:rPr>
          <w:rFonts w:ascii="Courier New" w:hAnsi="Courier New" w:cs="Courier New"/>
          <w:sz w:val="22"/>
          <w:szCs w:val="22"/>
        </w:rPr>
      </w:pPr>
      <w:r w:rsidRPr="006C3DD0">
        <w:rPr>
          <w:rFonts w:ascii="Courier New" w:hAnsi="Courier New" w:cs="Courier New"/>
          <w:sz w:val="22"/>
          <w:szCs w:val="22"/>
        </w:rPr>
        <w:t>Ademais, o controle sobre a destinação de recursos de fundos específicos é dever desta Casa, evitando que verbas carimbadas para a saúde ou habitação sejam transpostas sem a devida cautela legal</w:t>
      </w:r>
      <w:r>
        <w:rPr>
          <w:rFonts w:ascii="Courier New" w:hAnsi="Courier New" w:cs="Courier New"/>
          <w:sz w:val="22"/>
          <w:szCs w:val="22"/>
        </w:rPr>
        <w:t>:</w:t>
      </w:r>
    </w:p>
    <w:p w:rsidR="00491493" w:rsidP="00D365E5" w14:paraId="5EC9B7E4" w14:textId="1AE75B27">
      <w:pPr>
        <w:spacing w:before="120" w:after="120" w:line="276" w:lineRule="auto"/>
        <w:ind w:firstLine="567"/>
        <w:jc w:val="both"/>
        <w:rPr>
          <w:rFonts w:ascii="Courier New" w:hAnsi="Courier New" w:cs="Courier New"/>
          <w:sz w:val="22"/>
          <w:szCs w:val="22"/>
        </w:rPr>
      </w:pPr>
    </w:p>
    <w:p w:rsidR="00491493" w:rsidP="005112EB" w14:paraId="04DE3612" w14:textId="211B63B0">
      <w:pPr>
        <w:pBdr>
          <w:left w:val="single" w:sz="4" w:space="4" w:color="auto"/>
          <w:right w:val="single" w:sz="4" w:space="4" w:color="auto"/>
        </w:pBdr>
        <w:ind w:left="1701"/>
        <w:jc w:val="both"/>
        <w:rPr>
          <w:rFonts w:ascii="Courier New" w:hAnsi="Courier New" w:cs="Courier New"/>
        </w:rPr>
      </w:pPr>
      <w:r w:rsidRPr="006C3DD0">
        <w:rPr>
          <w:rFonts w:ascii="Courier New" w:hAnsi="Courier New" w:cs="Courier New"/>
        </w:rPr>
        <w:t>AÇÃO DIRETA DE INCONSTITUCIONALIDADE - INCISO II, DO ART. 13º DA LEI Nº 8.704, DE 13 DE SETEMBRO DE 2021, DO MUNICÍPIO DE MARÍLIA QUE 'DISPÕE SOBRE DOTAÇÃO PARA RESERVA DE CONTINGÊNCIA EM PERCENTUAL DE 1,2 PARA EMENDAS IMPOSITIVAS DE INICIATIVA PARLAMENTAR'- PODER LEGISLATIVO QUE DETÉM A PRERROGATIVA DE EMENDAR PROJETOS DE LEI, MESMO AQUELES CUJA INICIATIVA É RESERVADA AO CHEFE DO EXECUTIVO - OBSERVÂNCIA NECESSÁRIA, PORÉM, DOS LIMITES CONSTITUCIONAIS TRAÇADOS - EMENDAS PARLAMENTARES QUE, NA HIPÓTESE, REVELAM A PERTINÊNCIA TEMÁTICA EM RELAÇÃO AO PROJETO DE LEI ORIGINAL E NÃO IMPLICAM EM MAJORAÇÃO DE DESPESA- AUSÊNCIA DE INCOMPATIBILIDADE COM O PLANO PLURIANUAL - VEDAÇÕES CONSTITUCIONAIS DO ARTIGO 175, DA CARTA BANDEIRANTE, QUE RESTARAM PRESERVADAS - PRINCÍPIO DA SEPARAÇÃO DOS PODERES IMACULADO - INEXISTÊNCIA DE VIOLAÇÃO AOS ARTIGOS 5º, 144 E 176 DA CONSTITUIÇÃO ESTADUAL – NECESSIDADE DE INTERPRETAÇÃO CONFORME PARA QUE O PERCENTUAL SEJA APLICADO DE ACORDO COM AS RESTRIÇÕES PREVISTAS NAS CONSTITUIÇÕES FEDERAL E ESTADUAL, NO TOCANTE À DESTINAÇÃO DE METADE DA VERBA À ÁREA DA SAÚDE- PRETENSÃO PROCEDENTE EM PARTE.</w:t>
      </w:r>
      <w:r>
        <w:rPr>
          <w:rFonts w:ascii="Courier New" w:hAnsi="Courier New" w:cs="Courier New"/>
        </w:rPr>
        <w:t xml:space="preserve"> </w:t>
      </w:r>
      <w:r w:rsidRPr="006C3DD0">
        <w:rPr>
          <w:rFonts w:ascii="Courier New" w:hAnsi="Courier New" w:cs="Courier New"/>
        </w:rPr>
        <w:t>(</w:t>
      </w:r>
      <w:r w:rsidRPr="006C3DD0">
        <w:rPr>
          <w:rFonts w:ascii="Courier New" w:hAnsi="Courier New" w:cs="Courier New"/>
        </w:rPr>
        <w:t>TJ-SP</w:t>
      </w:r>
      <w:r w:rsidRPr="006C3DD0">
        <w:rPr>
          <w:rFonts w:ascii="Courier New" w:hAnsi="Courier New" w:cs="Courier New"/>
        </w:rPr>
        <w:t xml:space="preserve"> - Direta de Inconstitucionalidade: 22209455820218260000 São Paulo, Relator: Ademir Benedito, Data de Julgamento: 27/04/2022, Órgão Especial, Data de Publicação: 30/04/2022)</w:t>
      </w:r>
    </w:p>
    <w:p w:rsidR="00744E1D" w:rsidP="00D365E5" w14:paraId="07BC95AD" w14:textId="5BCD1685">
      <w:pPr>
        <w:spacing w:before="120" w:after="120" w:line="276" w:lineRule="auto"/>
        <w:ind w:firstLine="567"/>
        <w:jc w:val="both"/>
        <w:rPr>
          <w:rFonts w:ascii="Courier New" w:hAnsi="Courier New" w:cs="Courier New"/>
          <w:sz w:val="22"/>
          <w:szCs w:val="22"/>
        </w:rPr>
      </w:pPr>
    </w:p>
    <w:p w:rsidR="006C3DD0" w:rsidP="006C3DD0" w14:paraId="429BEBBC" w14:textId="77777777">
      <w:pPr>
        <w:spacing w:before="120" w:after="120" w:line="276" w:lineRule="auto"/>
        <w:ind w:firstLine="567"/>
        <w:jc w:val="both"/>
        <w:rPr>
          <w:rFonts w:ascii="Courier New" w:hAnsi="Courier New" w:cs="Courier New"/>
          <w:sz w:val="22"/>
          <w:szCs w:val="22"/>
        </w:rPr>
      </w:pPr>
      <w:r w:rsidRPr="006C3DD0">
        <w:rPr>
          <w:rFonts w:ascii="Courier New" w:hAnsi="Courier New" w:cs="Courier New"/>
          <w:sz w:val="22"/>
          <w:szCs w:val="22"/>
        </w:rPr>
        <w:t xml:space="preserve">Doutrinariamente, a emenda sustenta-se na lição de </w:t>
      </w:r>
      <w:r w:rsidRPr="006C3DD0">
        <w:rPr>
          <w:rFonts w:ascii="Courier New" w:hAnsi="Courier New" w:cs="Courier New"/>
          <w:b/>
          <w:bCs/>
          <w:sz w:val="22"/>
          <w:szCs w:val="22"/>
        </w:rPr>
        <w:t>Hely Lopes Meirelles</w:t>
      </w:r>
      <w:r w:rsidRPr="006C3DD0">
        <w:rPr>
          <w:rFonts w:ascii="Courier New" w:hAnsi="Courier New" w:cs="Courier New"/>
          <w:sz w:val="22"/>
          <w:szCs w:val="22"/>
        </w:rPr>
        <w:t xml:space="preserve">, que ensina que a desapropriação pode ser autorizada por lei da Câmara, cabendo ao Legislativo o controle sobre a viabilidade do ato (MEIRELLES, Hely Lopes. </w:t>
      </w:r>
      <w:r w:rsidRPr="006C3DD0">
        <w:rPr>
          <w:rFonts w:ascii="Courier New" w:hAnsi="Courier New" w:cs="Courier New"/>
          <w:i/>
          <w:iCs/>
          <w:sz w:val="22"/>
          <w:szCs w:val="22"/>
        </w:rPr>
        <w:t>Direito Municipal Brasileiro</w:t>
      </w:r>
      <w:r w:rsidRPr="006C3DD0">
        <w:rPr>
          <w:rFonts w:ascii="Courier New" w:hAnsi="Courier New" w:cs="Courier New"/>
          <w:sz w:val="22"/>
          <w:szCs w:val="22"/>
        </w:rPr>
        <w:t>. 23ª ed. São Paulo: Malheiros, 2026).</w:t>
      </w:r>
    </w:p>
    <w:p w:rsidR="006C3DD0" w:rsidP="006C3DD0" w14:paraId="0D137AE4" w14:textId="77777777">
      <w:pPr>
        <w:spacing w:before="120" w:after="120" w:line="276" w:lineRule="auto"/>
        <w:ind w:firstLine="567"/>
        <w:jc w:val="both"/>
        <w:rPr>
          <w:rFonts w:ascii="Courier New" w:hAnsi="Courier New" w:cs="Courier New"/>
          <w:sz w:val="22"/>
          <w:szCs w:val="22"/>
        </w:rPr>
      </w:pPr>
      <w:r w:rsidRPr="006C3DD0">
        <w:rPr>
          <w:rFonts w:ascii="Courier New" w:hAnsi="Courier New" w:cs="Courier New"/>
          <w:sz w:val="22"/>
          <w:szCs w:val="22"/>
        </w:rPr>
        <w:t xml:space="preserve">No mesmo sentido, </w:t>
      </w:r>
      <w:r w:rsidRPr="006C3DD0">
        <w:rPr>
          <w:rFonts w:ascii="Courier New" w:hAnsi="Courier New" w:cs="Courier New"/>
          <w:b/>
          <w:bCs/>
          <w:sz w:val="22"/>
          <w:szCs w:val="22"/>
        </w:rPr>
        <w:t>Maria Sylvia Zanella Di Pietro</w:t>
      </w:r>
      <w:r w:rsidRPr="006C3DD0">
        <w:rPr>
          <w:rFonts w:ascii="Courier New" w:hAnsi="Courier New" w:cs="Courier New"/>
          <w:sz w:val="22"/>
          <w:szCs w:val="22"/>
        </w:rPr>
        <w:t xml:space="preserve"> destaca que o Legislativo pode intervir no processo expropriatório por meio de lei de efeitos concretos, garantindo a conformidade administrativa (DI PIETRO, Maria Sylvia Zanella. </w:t>
      </w:r>
      <w:r w:rsidRPr="006C3DD0">
        <w:rPr>
          <w:rFonts w:ascii="Courier New" w:hAnsi="Courier New" w:cs="Courier New"/>
          <w:i/>
          <w:iCs/>
          <w:sz w:val="22"/>
          <w:szCs w:val="22"/>
        </w:rPr>
        <w:t>Direito Administrativo</w:t>
      </w:r>
      <w:r w:rsidRPr="006C3DD0">
        <w:rPr>
          <w:rFonts w:ascii="Courier New" w:hAnsi="Courier New" w:cs="Courier New"/>
          <w:sz w:val="22"/>
          <w:szCs w:val="22"/>
        </w:rPr>
        <w:t>. 36ª ed. Rio de Janeiro: Forense, 2023).</w:t>
      </w:r>
    </w:p>
    <w:p w:rsidR="006C3DD0" w:rsidRPr="006C3DD0" w:rsidP="006C3DD0" w14:paraId="26B4A99E" w14:textId="4E577AEB">
      <w:pPr>
        <w:spacing w:before="120" w:after="120" w:line="276" w:lineRule="auto"/>
        <w:ind w:firstLine="567"/>
        <w:jc w:val="both"/>
        <w:rPr>
          <w:rFonts w:ascii="Courier New" w:hAnsi="Courier New" w:cs="Courier New"/>
          <w:sz w:val="22"/>
          <w:szCs w:val="22"/>
        </w:rPr>
      </w:pPr>
      <w:r w:rsidRPr="006C3DD0">
        <w:rPr>
          <w:rFonts w:ascii="Courier New" w:hAnsi="Courier New" w:cs="Courier New"/>
          <w:sz w:val="22"/>
          <w:szCs w:val="22"/>
        </w:rPr>
        <w:t xml:space="preserve">Por fim, </w:t>
      </w:r>
      <w:r w:rsidRPr="006C3DD0">
        <w:rPr>
          <w:rFonts w:ascii="Courier New" w:hAnsi="Courier New" w:cs="Courier New"/>
          <w:b/>
          <w:bCs/>
          <w:sz w:val="22"/>
          <w:szCs w:val="22"/>
        </w:rPr>
        <w:t>José dos Santos Carvalho Filho</w:t>
      </w:r>
      <w:r w:rsidRPr="006C3DD0">
        <w:rPr>
          <w:rFonts w:ascii="Courier New" w:hAnsi="Courier New" w:cs="Courier New"/>
          <w:sz w:val="22"/>
          <w:szCs w:val="22"/>
        </w:rPr>
        <w:t xml:space="preserve"> assevera que a vinculação de receitas a fundos específicos é garantia de eficiência e moralidade, impedindo o arbítrio na gestão financeira (CARVALHO FILHO, José dos Santos. </w:t>
      </w:r>
      <w:r w:rsidRPr="006C3DD0">
        <w:rPr>
          <w:rFonts w:ascii="Courier New" w:hAnsi="Courier New" w:cs="Courier New"/>
          <w:i/>
          <w:iCs/>
          <w:sz w:val="22"/>
          <w:szCs w:val="22"/>
        </w:rPr>
        <w:t>Manual de Direito Administrativo</w:t>
      </w:r>
      <w:r w:rsidRPr="006C3DD0">
        <w:rPr>
          <w:rFonts w:ascii="Courier New" w:hAnsi="Courier New" w:cs="Courier New"/>
          <w:sz w:val="22"/>
          <w:szCs w:val="22"/>
        </w:rPr>
        <w:t>. 40ª ed. Barueri: Atlas, 2026).</w:t>
      </w:r>
    </w:p>
    <w:p w:rsidR="00491493" w:rsidP="00D365E5" w14:paraId="7EB21F3D" w14:textId="483C8ABC">
      <w:pPr>
        <w:spacing w:before="120" w:after="120" w:line="276" w:lineRule="auto"/>
        <w:ind w:firstLine="567"/>
        <w:jc w:val="both"/>
        <w:rPr>
          <w:rFonts w:ascii="Courier New" w:hAnsi="Courier New" w:cs="Courier New"/>
          <w:sz w:val="22"/>
          <w:szCs w:val="22"/>
        </w:rPr>
      </w:pPr>
      <w:r w:rsidRPr="006C3DD0">
        <w:rPr>
          <w:rFonts w:ascii="Courier New" w:hAnsi="Courier New" w:cs="Courier New"/>
          <w:sz w:val="22"/>
          <w:szCs w:val="22"/>
        </w:rPr>
        <w:t xml:space="preserve">A emenda é amparada pelos princípios nacionais da </w:t>
      </w:r>
      <w:r w:rsidRPr="006C3DD0">
        <w:rPr>
          <w:rFonts w:ascii="Courier New" w:hAnsi="Courier New" w:cs="Courier New"/>
          <w:b/>
          <w:bCs/>
          <w:sz w:val="22"/>
          <w:szCs w:val="22"/>
        </w:rPr>
        <w:t>Moralidade Administrativa</w:t>
      </w:r>
      <w:r w:rsidRPr="006C3DD0">
        <w:rPr>
          <w:rFonts w:ascii="Courier New" w:hAnsi="Courier New" w:cs="Courier New"/>
          <w:sz w:val="22"/>
          <w:szCs w:val="22"/>
        </w:rPr>
        <w:t xml:space="preserve"> e da </w:t>
      </w:r>
      <w:r w:rsidRPr="006C3DD0">
        <w:rPr>
          <w:rFonts w:ascii="Courier New" w:hAnsi="Courier New" w:cs="Courier New"/>
          <w:b/>
          <w:bCs/>
          <w:sz w:val="22"/>
          <w:szCs w:val="22"/>
        </w:rPr>
        <w:t>Especialidade dos Fundos</w:t>
      </w:r>
      <w:r w:rsidRPr="006C3DD0">
        <w:rPr>
          <w:rFonts w:ascii="Courier New" w:hAnsi="Courier New" w:cs="Courier New"/>
          <w:sz w:val="22"/>
          <w:szCs w:val="22"/>
        </w:rPr>
        <w:t xml:space="preserve">, além do princípio </w:t>
      </w:r>
      <w:r w:rsidRPr="006C3DD0">
        <w:rPr>
          <w:rFonts w:ascii="Courier New" w:hAnsi="Courier New" w:cs="Courier New"/>
          <w:sz w:val="22"/>
          <w:szCs w:val="22"/>
        </w:rPr>
        <w:t xml:space="preserve">internacional da </w:t>
      </w:r>
      <w:r w:rsidRPr="006C3DD0">
        <w:rPr>
          <w:rFonts w:ascii="Courier New" w:hAnsi="Courier New" w:cs="Courier New"/>
          <w:b/>
          <w:bCs/>
          <w:sz w:val="22"/>
          <w:szCs w:val="22"/>
        </w:rPr>
        <w:t>Boa Governança Financeira</w:t>
      </w:r>
      <w:r w:rsidRPr="006C3DD0">
        <w:rPr>
          <w:rFonts w:ascii="Courier New" w:hAnsi="Courier New" w:cs="Courier New"/>
          <w:sz w:val="22"/>
          <w:szCs w:val="22"/>
        </w:rPr>
        <w:t xml:space="preserve">. O letramento da lei evoca o </w:t>
      </w:r>
      <w:r w:rsidRPr="006C3DD0">
        <w:rPr>
          <w:rFonts w:ascii="Courier New" w:hAnsi="Courier New" w:cs="Courier New"/>
          <w:b/>
          <w:bCs/>
          <w:sz w:val="22"/>
          <w:szCs w:val="22"/>
        </w:rPr>
        <w:t>Art. 167, VI da Constituição Federal</w:t>
      </w:r>
      <w:r w:rsidRPr="006C3DD0">
        <w:rPr>
          <w:rFonts w:ascii="Courier New" w:hAnsi="Courier New" w:cs="Courier New"/>
          <w:sz w:val="22"/>
          <w:szCs w:val="22"/>
        </w:rPr>
        <w:t xml:space="preserve">, que veda a transposição de recursos sem autorização legislativa. Aplica-se aqui o brocardo latino </w:t>
      </w:r>
      <w:r w:rsidRPr="006C3DD0">
        <w:rPr>
          <w:rFonts w:ascii="Courier New" w:hAnsi="Courier New" w:cs="Courier New"/>
          <w:b/>
          <w:bCs/>
          <w:i/>
          <w:iCs/>
          <w:sz w:val="22"/>
          <w:szCs w:val="22"/>
        </w:rPr>
        <w:t>Ubi</w:t>
      </w:r>
      <w:r w:rsidRPr="006C3DD0">
        <w:rPr>
          <w:rFonts w:ascii="Courier New" w:hAnsi="Courier New" w:cs="Courier New"/>
          <w:b/>
          <w:bCs/>
          <w:i/>
          <w:iCs/>
          <w:sz w:val="22"/>
          <w:szCs w:val="22"/>
        </w:rPr>
        <w:t xml:space="preserve"> </w:t>
      </w:r>
      <w:r w:rsidRPr="006C3DD0">
        <w:rPr>
          <w:rFonts w:ascii="Courier New" w:hAnsi="Courier New" w:cs="Courier New"/>
          <w:b/>
          <w:bCs/>
          <w:i/>
          <w:iCs/>
          <w:sz w:val="22"/>
          <w:szCs w:val="22"/>
        </w:rPr>
        <w:t>eadem</w:t>
      </w:r>
      <w:r w:rsidRPr="006C3DD0">
        <w:rPr>
          <w:rFonts w:ascii="Courier New" w:hAnsi="Courier New" w:cs="Courier New"/>
          <w:b/>
          <w:bCs/>
          <w:i/>
          <w:iCs/>
          <w:sz w:val="22"/>
          <w:szCs w:val="22"/>
        </w:rPr>
        <w:t xml:space="preserve"> </w:t>
      </w:r>
      <w:r w:rsidRPr="006C3DD0">
        <w:rPr>
          <w:rFonts w:ascii="Courier New" w:hAnsi="Courier New" w:cs="Courier New"/>
          <w:b/>
          <w:bCs/>
          <w:i/>
          <w:iCs/>
          <w:sz w:val="22"/>
          <w:szCs w:val="22"/>
        </w:rPr>
        <w:t>ratio</w:t>
      </w:r>
      <w:r w:rsidRPr="006C3DD0">
        <w:rPr>
          <w:rFonts w:ascii="Courier New" w:hAnsi="Courier New" w:cs="Courier New"/>
          <w:b/>
          <w:bCs/>
          <w:i/>
          <w:iCs/>
          <w:sz w:val="22"/>
          <w:szCs w:val="22"/>
        </w:rPr>
        <w:t xml:space="preserve">, </w:t>
      </w:r>
      <w:r w:rsidRPr="006C3DD0">
        <w:rPr>
          <w:rFonts w:ascii="Courier New" w:hAnsi="Courier New" w:cs="Courier New"/>
          <w:b/>
          <w:bCs/>
          <w:i/>
          <w:iCs/>
          <w:sz w:val="22"/>
          <w:szCs w:val="22"/>
        </w:rPr>
        <w:t>ibi</w:t>
      </w:r>
      <w:r w:rsidRPr="006C3DD0">
        <w:rPr>
          <w:rFonts w:ascii="Courier New" w:hAnsi="Courier New" w:cs="Courier New"/>
          <w:b/>
          <w:bCs/>
          <w:i/>
          <w:iCs/>
          <w:sz w:val="22"/>
          <w:szCs w:val="22"/>
        </w:rPr>
        <w:t xml:space="preserve"> </w:t>
      </w:r>
      <w:r w:rsidRPr="006C3DD0">
        <w:rPr>
          <w:rFonts w:ascii="Courier New" w:hAnsi="Courier New" w:cs="Courier New"/>
          <w:b/>
          <w:bCs/>
          <w:i/>
          <w:iCs/>
          <w:sz w:val="22"/>
          <w:szCs w:val="22"/>
        </w:rPr>
        <w:t>eadem</w:t>
      </w:r>
      <w:r w:rsidRPr="006C3DD0">
        <w:rPr>
          <w:rFonts w:ascii="Courier New" w:hAnsi="Courier New" w:cs="Courier New"/>
          <w:b/>
          <w:bCs/>
          <w:i/>
          <w:iCs/>
          <w:sz w:val="22"/>
          <w:szCs w:val="22"/>
        </w:rPr>
        <w:t xml:space="preserve"> legis </w:t>
      </w:r>
      <w:r w:rsidRPr="006C3DD0">
        <w:rPr>
          <w:rFonts w:ascii="Courier New" w:hAnsi="Courier New" w:cs="Courier New"/>
          <w:b/>
          <w:bCs/>
          <w:i/>
          <w:iCs/>
          <w:sz w:val="22"/>
          <w:szCs w:val="22"/>
        </w:rPr>
        <w:t>dispositio</w:t>
      </w:r>
      <w:r w:rsidRPr="006C3DD0">
        <w:rPr>
          <w:rFonts w:ascii="Courier New" w:hAnsi="Courier New" w:cs="Courier New"/>
          <w:sz w:val="22"/>
          <w:szCs w:val="22"/>
        </w:rPr>
        <w:t xml:space="preserve"> ("Onde existe a mesma razão, deve prevalecer a mesma disposição legal"), pois se a razão do fundo é a habitação, a lei deve dispor que apenas para habitação ele seja usado.</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43256"/>
    <w:rsid w:val="00056D9C"/>
    <w:rsid w:val="00066D52"/>
    <w:rsid w:val="00076553"/>
    <w:rsid w:val="0008637B"/>
    <w:rsid w:val="000B4EDA"/>
    <w:rsid w:val="000B5735"/>
    <w:rsid w:val="000D4177"/>
    <w:rsid w:val="000E1F8A"/>
    <w:rsid w:val="000E658D"/>
    <w:rsid w:val="000F672F"/>
    <w:rsid w:val="00105020"/>
    <w:rsid w:val="00106142"/>
    <w:rsid w:val="00124163"/>
    <w:rsid w:val="001277C1"/>
    <w:rsid w:val="00153665"/>
    <w:rsid w:val="00156CD3"/>
    <w:rsid w:val="00156E23"/>
    <w:rsid w:val="001604C3"/>
    <w:rsid w:val="001610A9"/>
    <w:rsid w:val="001634D3"/>
    <w:rsid w:val="00165F25"/>
    <w:rsid w:val="00176E7E"/>
    <w:rsid w:val="00182771"/>
    <w:rsid w:val="00183AF0"/>
    <w:rsid w:val="001949B0"/>
    <w:rsid w:val="001959EF"/>
    <w:rsid w:val="001A39DE"/>
    <w:rsid w:val="001B42BA"/>
    <w:rsid w:val="001B4DF9"/>
    <w:rsid w:val="001C3AA6"/>
    <w:rsid w:val="001C5FCD"/>
    <w:rsid w:val="001D21A6"/>
    <w:rsid w:val="001F2270"/>
    <w:rsid w:val="00200F1C"/>
    <w:rsid w:val="00241452"/>
    <w:rsid w:val="0024425A"/>
    <w:rsid w:val="00245209"/>
    <w:rsid w:val="00257241"/>
    <w:rsid w:val="0027575E"/>
    <w:rsid w:val="002859C6"/>
    <w:rsid w:val="00296637"/>
    <w:rsid w:val="00296EA6"/>
    <w:rsid w:val="002B572E"/>
    <w:rsid w:val="002C14C0"/>
    <w:rsid w:val="002C423A"/>
    <w:rsid w:val="002C4498"/>
    <w:rsid w:val="002C6AAE"/>
    <w:rsid w:val="002C7266"/>
    <w:rsid w:val="002D25FF"/>
    <w:rsid w:val="002D2C82"/>
    <w:rsid w:val="002D68CE"/>
    <w:rsid w:val="002D704B"/>
    <w:rsid w:val="002F169E"/>
    <w:rsid w:val="002F76C7"/>
    <w:rsid w:val="00307AFD"/>
    <w:rsid w:val="00320D4D"/>
    <w:rsid w:val="003226F4"/>
    <w:rsid w:val="00327030"/>
    <w:rsid w:val="003274BA"/>
    <w:rsid w:val="00332D04"/>
    <w:rsid w:val="00345B10"/>
    <w:rsid w:val="0035352F"/>
    <w:rsid w:val="0035370A"/>
    <w:rsid w:val="00355277"/>
    <w:rsid w:val="00374AF7"/>
    <w:rsid w:val="00377039"/>
    <w:rsid w:val="00386202"/>
    <w:rsid w:val="003A0C73"/>
    <w:rsid w:val="003A27C4"/>
    <w:rsid w:val="003C0749"/>
    <w:rsid w:val="003C0F80"/>
    <w:rsid w:val="003E0416"/>
    <w:rsid w:val="00401038"/>
    <w:rsid w:val="00402140"/>
    <w:rsid w:val="00426E1A"/>
    <w:rsid w:val="00452524"/>
    <w:rsid w:val="004622A3"/>
    <w:rsid w:val="00465074"/>
    <w:rsid w:val="00465614"/>
    <w:rsid w:val="00466795"/>
    <w:rsid w:val="00481B75"/>
    <w:rsid w:val="00491493"/>
    <w:rsid w:val="004C4CD8"/>
    <w:rsid w:val="004C7ED8"/>
    <w:rsid w:val="004D0063"/>
    <w:rsid w:val="004D1A0E"/>
    <w:rsid w:val="004E4ADA"/>
    <w:rsid w:val="004E6D12"/>
    <w:rsid w:val="004F1BCE"/>
    <w:rsid w:val="004F7A40"/>
    <w:rsid w:val="00507EC7"/>
    <w:rsid w:val="00510DC1"/>
    <w:rsid w:val="005112EB"/>
    <w:rsid w:val="0051564A"/>
    <w:rsid w:val="00521BE4"/>
    <w:rsid w:val="00537FEA"/>
    <w:rsid w:val="00564B9E"/>
    <w:rsid w:val="0057381F"/>
    <w:rsid w:val="005831E1"/>
    <w:rsid w:val="0059377F"/>
    <w:rsid w:val="005C5121"/>
    <w:rsid w:val="005D014E"/>
    <w:rsid w:val="005D1A64"/>
    <w:rsid w:val="005E0EA4"/>
    <w:rsid w:val="005E33D2"/>
    <w:rsid w:val="005F3390"/>
    <w:rsid w:val="005F4015"/>
    <w:rsid w:val="005F4D88"/>
    <w:rsid w:val="005F72BF"/>
    <w:rsid w:val="00605473"/>
    <w:rsid w:val="00612EC2"/>
    <w:rsid w:val="006267C8"/>
    <w:rsid w:val="006319D1"/>
    <w:rsid w:val="00634822"/>
    <w:rsid w:val="00634D61"/>
    <w:rsid w:val="00657DB6"/>
    <w:rsid w:val="0066388F"/>
    <w:rsid w:val="0068334C"/>
    <w:rsid w:val="0068590A"/>
    <w:rsid w:val="006949CD"/>
    <w:rsid w:val="006B2CD0"/>
    <w:rsid w:val="006B701B"/>
    <w:rsid w:val="006C3627"/>
    <w:rsid w:val="006C3DD0"/>
    <w:rsid w:val="006C51EA"/>
    <w:rsid w:val="006D01AE"/>
    <w:rsid w:val="006D31CD"/>
    <w:rsid w:val="006D56EE"/>
    <w:rsid w:val="006E31FD"/>
    <w:rsid w:val="006F1586"/>
    <w:rsid w:val="006F3588"/>
    <w:rsid w:val="00704898"/>
    <w:rsid w:val="00720772"/>
    <w:rsid w:val="007214E8"/>
    <w:rsid w:val="007256BA"/>
    <w:rsid w:val="00727359"/>
    <w:rsid w:val="00744E1D"/>
    <w:rsid w:val="00744EB9"/>
    <w:rsid w:val="00744EFF"/>
    <w:rsid w:val="00747418"/>
    <w:rsid w:val="00747F3E"/>
    <w:rsid w:val="00752E8A"/>
    <w:rsid w:val="007571D2"/>
    <w:rsid w:val="007621F4"/>
    <w:rsid w:val="007851AB"/>
    <w:rsid w:val="0078781A"/>
    <w:rsid w:val="00792F39"/>
    <w:rsid w:val="007A3234"/>
    <w:rsid w:val="007A702D"/>
    <w:rsid w:val="007C7F52"/>
    <w:rsid w:val="007D5EC5"/>
    <w:rsid w:val="007E3DC3"/>
    <w:rsid w:val="007F5BB3"/>
    <w:rsid w:val="007F648B"/>
    <w:rsid w:val="008060C7"/>
    <w:rsid w:val="00806639"/>
    <w:rsid w:val="00815F08"/>
    <w:rsid w:val="0082587D"/>
    <w:rsid w:val="00826BB5"/>
    <w:rsid w:val="008356D5"/>
    <w:rsid w:val="0084452E"/>
    <w:rsid w:val="00865897"/>
    <w:rsid w:val="0087229F"/>
    <w:rsid w:val="0088408C"/>
    <w:rsid w:val="008844E4"/>
    <w:rsid w:val="008A0234"/>
    <w:rsid w:val="008A26DA"/>
    <w:rsid w:val="008A3CBB"/>
    <w:rsid w:val="008A7123"/>
    <w:rsid w:val="008C2FCC"/>
    <w:rsid w:val="008C42BB"/>
    <w:rsid w:val="008C4586"/>
    <w:rsid w:val="008D0052"/>
    <w:rsid w:val="008D10B2"/>
    <w:rsid w:val="008E2705"/>
    <w:rsid w:val="00923162"/>
    <w:rsid w:val="009269AB"/>
    <w:rsid w:val="0094153C"/>
    <w:rsid w:val="00947FC5"/>
    <w:rsid w:val="00954EDC"/>
    <w:rsid w:val="00962D1C"/>
    <w:rsid w:val="009864DB"/>
    <w:rsid w:val="00986774"/>
    <w:rsid w:val="00991752"/>
    <w:rsid w:val="00995807"/>
    <w:rsid w:val="009974FC"/>
    <w:rsid w:val="009A34E3"/>
    <w:rsid w:val="009A3921"/>
    <w:rsid w:val="009B5BE4"/>
    <w:rsid w:val="009B7E1C"/>
    <w:rsid w:val="009F61CE"/>
    <w:rsid w:val="009F6628"/>
    <w:rsid w:val="00A164B8"/>
    <w:rsid w:val="00A23C0E"/>
    <w:rsid w:val="00A331D9"/>
    <w:rsid w:val="00A42886"/>
    <w:rsid w:val="00A442EC"/>
    <w:rsid w:val="00A47FF5"/>
    <w:rsid w:val="00A51AA5"/>
    <w:rsid w:val="00A56606"/>
    <w:rsid w:val="00A57636"/>
    <w:rsid w:val="00A60362"/>
    <w:rsid w:val="00A608BC"/>
    <w:rsid w:val="00A72861"/>
    <w:rsid w:val="00A8211F"/>
    <w:rsid w:val="00A83754"/>
    <w:rsid w:val="00A946B4"/>
    <w:rsid w:val="00A95CC5"/>
    <w:rsid w:val="00A966BE"/>
    <w:rsid w:val="00A97D4E"/>
    <w:rsid w:val="00AA148D"/>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7C97"/>
    <w:rsid w:val="00C31D75"/>
    <w:rsid w:val="00C372C4"/>
    <w:rsid w:val="00C421B1"/>
    <w:rsid w:val="00C44517"/>
    <w:rsid w:val="00C61B9C"/>
    <w:rsid w:val="00C65556"/>
    <w:rsid w:val="00C734FC"/>
    <w:rsid w:val="00C73C43"/>
    <w:rsid w:val="00C93A58"/>
    <w:rsid w:val="00C95BB4"/>
    <w:rsid w:val="00CA4CE7"/>
    <w:rsid w:val="00CC385D"/>
    <w:rsid w:val="00CC4ACB"/>
    <w:rsid w:val="00CD7AA0"/>
    <w:rsid w:val="00CF7FCD"/>
    <w:rsid w:val="00D01D06"/>
    <w:rsid w:val="00D168E9"/>
    <w:rsid w:val="00D208C4"/>
    <w:rsid w:val="00D30EC1"/>
    <w:rsid w:val="00D33B3A"/>
    <w:rsid w:val="00D34085"/>
    <w:rsid w:val="00D365E5"/>
    <w:rsid w:val="00D464E5"/>
    <w:rsid w:val="00D47ECB"/>
    <w:rsid w:val="00D550D7"/>
    <w:rsid w:val="00D64727"/>
    <w:rsid w:val="00D64BE1"/>
    <w:rsid w:val="00D706B5"/>
    <w:rsid w:val="00D73096"/>
    <w:rsid w:val="00D80661"/>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35BAE"/>
    <w:rsid w:val="00E4672A"/>
    <w:rsid w:val="00E46ECB"/>
    <w:rsid w:val="00E52FF0"/>
    <w:rsid w:val="00E66BA2"/>
    <w:rsid w:val="00E76B17"/>
    <w:rsid w:val="00E86F30"/>
    <w:rsid w:val="00E96597"/>
    <w:rsid w:val="00EA5CF5"/>
    <w:rsid w:val="00EB5B27"/>
    <w:rsid w:val="00EB727B"/>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DD0"/>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4</Pages>
  <Words>1043</Words>
  <Characters>5635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72</cp:revision>
  <cp:lastPrinted>2026-05-15T11:52:07Z</cp:lastPrinted>
  <dcterms:created xsi:type="dcterms:W3CDTF">2026-01-09T01:35:00Z</dcterms:created>
  <dcterms:modified xsi:type="dcterms:W3CDTF">2026-05-15T01:19:00Z</dcterms:modified>
</cp:coreProperties>
</file>