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Nº 40/2026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Nº 40/2026</w:t>
      </w: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225D7A9C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2C7266" w:rsidR="002C7266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EMENDA </w:t>
      </w:r>
      <w:r w:rsidR="003800BC">
        <w:rPr>
          <w:rFonts w:ascii="Courier New" w:hAnsi="Courier New" w:cs="Courier New"/>
          <w:i/>
          <w:iCs/>
          <w:kern w:val="3"/>
          <w:sz w:val="22"/>
          <w:szCs w:val="22"/>
        </w:rPr>
        <w:t>ADITIVA</w:t>
      </w:r>
      <w:r w:rsidRPr="002C7266" w:rsidR="002C7266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AO PROJETO DE LEI Nº 40/2026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1B445242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3800BC">
        <w:rPr>
          <w:rFonts w:ascii="Courier New" w:hAnsi="Courier New" w:cs="Courier New"/>
          <w:sz w:val="22"/>
          <w:szCs w:val="22"/>
        </w:rPr>
        <w:t>Adiciona o Artigo 5º ao Projeto de Lei nº 40/2026, renumerando-se os demais, 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88408C" w:rsidP="00010A9F" w14:paraId="6612735D" w14:textId="2940E55D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0D4177" w:rsidR="000D4177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3800BC">
        <w:rPr>
          <w:rFonts w:ascii="Courier New" w:hAnsi="Courier New" w:cs="Courier New"/>
          <w:b/>
          <w:bCs/>
          <w:sz w:val="22"/>
          <w:szCs w:val="22"/>
        </w:rPr>
        <w:t>5</w:t>
      </w:r>
      <w:r w:rsidR="002C6AAE">
        <w:rPr>
          <w:rFonts w:ascii="Courier New" w:hAnsi="Courier New" w:cs="Courier New"/>
          <w:b/>
          <w:bCs/>
          <w:sz w:val="22"/>
          <w:szCs w:val="22"/>
        </w:rPr>
        <w:t>º</w:t>
      </w:r>
      <w:r w:rsidRPr="001604C3" w:rsidR="001604C3">
        <w:rPr>
          <w:rFonts w:ascii="Courier New" w:hAnsi="Courier New" w:cs="Courier New"/>
          <w:sz w:val="22"/>
          <w:szCs w:val="22"/>
        </w:rPr>
        <w:t xml:space="preserve"> </w:t>
      </w:r>
      <w:r w:rsidRPr="003800BC" w:rsidR="003800BC">
        <w:rPr>
          <w:rFonts w:ascii="Courier New" w:hAnsi="Courier New" w:cs="Courier New"/>
          <w:sz w:val="22"/>
          <w:szCs w:val="22"/>
        </w:rPr>
        <w:t>A eficácia da autorização legislativa contida nesta Lei fica vinculada à garantia da transparência e participação popular, devendo o Poder Executivo assegurar aos proprietários afetados e à comunidade local o acesso integral ao projeto executivo, cronograma da obra e Estudo de Impacto de Vizinhança (</w:t>
      </w:r>
      <w:r w:rsidRPr="003800BC" w:rsidR="003800BC">
        <w:rPr>
          <w:rFonts w:ascii="Courier New" w:hAnsi="Courier New" w:cs="Courier New"/>
          <w:sz w:val="22"/>
          <w:szCs w:val="22"/>
        </w:rPr>
        <w:t>EIV</w:t>
      </w:r>
      <w:r w:rsidRPr="003800BC" w:rsidR="003800BC">
        <w:rPr>
          <w:rFonts w:ascii="Courier New" w:hAnsi="Courier New" w:cs="Courier New"/>
          <w:sz w:val="22"/>
          <w:szCs w:val="22"/>
        </w:rPr>
        <w:t>), facultada a realização de audiência pública para esclarecimentos.</w:t>
      </w:r>
      <w:r w:rsidR="000D4177">
        <w:rPr>
          <w:rFonts w:ascii="Courier New" w:hAnsi="Courier New" w:cs="Courier New"/>
          <w:sz w:val="22"/>
          <w:szCs w:val="22"/>
        </w:rPr>
        <w:t>”</w:t>
      </w:r>
    </w:p>
    <w:p w:rsidR="00A60362" w:rsidRPr="00465074" w:rsidP="00010A9F" w14:paraId="1FEA10E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6FFCC189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5074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15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546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RPr="00876D33" w:rsidP="00876D33" w14:paraId="0FC1AAF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>Esta emenda aditiva visa garantir que a construção da ponte sobre o Rio Mogi Mirim não seja um ato isolado do gabinete, mas um processo transparente que conte com a efetiva participação da comunidade e dos proprietários afetados. Ao vincular a eficácia da autorização ao acesso integral ao projeto e ao Estudo de Impacto de Vizinhança (</w:t>
      </w:r>
      <w:r w:rsidRPr="00876D33">
        <w:rPr>
          <w:rFonts w:ascii="Courier New" w:hAnsi="Courier New" w:cs="Courier New"/>
          <w:sz w:val="22"/>
          <w:szCs w:val="22"/>
        </w:rPr>
        <w:t>EIV</w:t>
      </w:r>
      <w:r w:rsidRPr="00876D33">
        <w:rPr>
          <w:rFonts w:ascii="Courier New" w:hAnsi="Courier New" w:cs="Courier New"/>
          <w:sz w:val="22"/>
          <w:szCs w:val="22"/>
        </w:rPr>
        <w:t>), estamos assegurando que o progresso não atropele o direito à informação, convencendo os cidadãos de que a obra é tecnicamente viável e socialmente justa, fortalecendo a legitimidade de nossa decisão legislativa.</w:t>
      </w:r>
    </w:p>
    <w:p w:rsidR="00876D33" w:rsidP="00876D33" w14:paraId="0F046D8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>A jurisprudência pátria é severa ao anular atos urbanísticos que ignoram a participação popular, considerando inconstitucionais leis que afastam o debate comunitário em temas de desenvolvimento urbano</w:t>
      </w:r>
      <w:r>
        <w:rPr>
          <w:rFonts w:ascii="Courier New" w:hAnsi="Courier New" w:cs="Courier New"/>
          <w:sz w:val="22"/>
          <w:szCs w:val="22"/>
        </w:rPr>
        <w:t>:</w:t>
      </w:r>
    </w:p>
    <w:p w:rsidR="00876D33" w:rsidP="00876D33" w14:paraId="31C4199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P="00876D33" w14:paraId="006938BE" w14:textId="481E2105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876D33">
        <w:rPr>
          <w:rFonts w:ascii="Courier New" w:hAnsi="Courier New" w:cs="Courier New"/>
        </w:rPr>
        <w:t xml:space="preserve">AÇÃO DIRETA DE INCONSTITUCIONALIDADE - EMENDA À LEI ORGÂNICA Nº 90/2025, DE 15 DE MAIO DE 2025, DO MUNICÍPIO DE SÃO JOSÉ DOS CAMPOS, QUE "ALTERA O ART. 258 DA LEI ORGÂNICA DO MUNICÍPIO, DE 05 DE ABRIL DE 1990" – NORMA QUE AFASTA VEDAÇÃO ABSOLUTA DE ALTERAÇÃO DA DESTINAÇÃO DE ÁREAS INSTITUCIONAIS E VERDES DE LOTEAMENTOS E DELEGA A DISCIPLINA DA MATÉRIA À LEI COMPLEMENTAR - ESTABELECIMENTO DE NOVA DIRETRIZ EM MATÉRIA DE DESENVOLVIMENTO URBANO - AUTONOMIA MUNICIPAL - CARÁTER NÃO ABSOLUTO - OBSERVÂNCIA DO ORDENAMENTO CONSTITUCIONAL - PROCESSO LEGISLATIVO DESACOMPANHADO DE EFETIVA PARTICIPAÇÃO COMUNITÁRIA E PLANEJAMENTO TÉCNICO PRÉVIO - VIOLAÇÃO AOS ARTIGOS 180, II, 181 E 191, COMBINADO COM ART. 144, TODOS DA CONSTITUIÇÃO ESTADUAL - PRECEDENTES DO ÓRGÃO ESPECIAL – AÇÃO PROCEDENTE, COM EFEITO </w:t>
      </w:r>
      <w:r w:rsidRPr="00876D33">
        <w:rPr>
          <w:rFonts w:ascii="Courier New" w:hAnsi="Courier New" w:cs="Courier New"/>
        </w:rPr>
        <w:t>EX</w:t>
      </w:r>
      <w:r w:rsidRPr="00876D33">
        <w:rPr>
          <w:rFonts w:ascii="Courier New" w:hAnsi="Courier New" w:cs="Courier New"/>
        </w:rPr>
        <w:t xml:space="preserve"> </w:t>
      </w:r>
      <w:r w:rsidRPr="00876D33">
        <w:rPr>
          <w:rFonts w:ascii="Courier New" w:hAnsi="Courier New" w:cs="Courier New"/>
        </w:rPr>
        <w:t>TUNC</w:t>
      </w:r>
      <w:r w:rsidRPr="00876D33">
        <w:rPr>
          <w:rFonts w:ascii="Courier New" w:hAnsi="Courier New" w:cs="Courier New"/>
        </w:rPr>
        <w:t>, TORNADA DEFINITIVA A LIMINAR.</w:t>
      </w:r>
      <w:r>
        <w:rPr>
          <w:rFonts w:ascii="Courier New" w:hAnsi="Courier New" w:cs="Courier New"/>
        </w:rPr>
        <w:t xml:space="preserve"> </w:t>
      </w:r>
      <w:r w:rsidRPr="00876D33">
        <w:rPr>
          <w:rFonts w:ascii="Courier New" w:hAnsi="Courier New" w:cs="Courier New"/>
        </w:rPr>
        <w:t>(</w:t>
      </w:r>
      <w:r w:rsidRPr="00876D33">
        <w:rPr>
          <w:rFonts w:ascii="Courier New" w:hAnsi="Courier New" w:cs="Courier New"/>
        </w:rPr>
        <w:t>TJ-SP</w:t>
      </w:r>
      <w:r w:rsidRPr="00876D33">
        <w:rPr>
          <w:rFonts w:ascii="Courier New" w:hAnsi="Courier New" w:cs="Courier New"/>
        </w:rPr>
        <w:t xml:space="preserve"> - Direta de Inconstitucionalidade: 21525559420258260000 São Paulo, Relator: Matheus Fontes, Data de Julgamento: 10/12/2025, Órgão Especial, Data de Publicação: 12/12/2025)</w:t>
      </w:r>
    </w:p>
    <w:p w:rsidR="00876D33" w:rsidP="00876D33" w14:paraId="5FB28CB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P="00876D33" w14:paraId="3240D9F1" w14:textId="37EA477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 xml:space="preserve">O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TJSP</w:t>
      </w:r>
      <w:r w:rsidRPr="00876D33">
        <w:rPr>
          <w:rFonts w:ascii="Courier New" w:hAnsi="Courier New" w:cs="Courier New"/>
          <w:sz w:val="22"/>
          <w:szCs w:val="22"/>
        </w:rPr>
        <w:t xml:space="preserve"> já decidiu que a ausência de participação popular mínima viola o devido processo legislativo em matérias que alteram o uso do solo e o meio ambiente</w:t>
      </w:r>
      <w:r>
        <w:rPr>
          <w:rFonts w:ascii="Courier New" w:hAnsi="Courier New" w:cs="Courier New"/>
          <w:sz w:val="22"/>
          <w:szCs w:val="22"/>
        </w:rPr>
        <w:t>:</w:t>
      </w:r>
    </w:p>
    <w:p w:rsidR="00876D33" w:rsidP="00876D33" w14:paraId="7D72613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P="00876D33" w14:paraId="4545A01B" w14:textId="7F7FE28C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876D33">
        <w:rPr>
          <w:rFonts w:ascii="Courier New" w:hAnsi="Courier New" w:cs="Courier New"/>
        </w:rPr>
        <w:t xml:space="preserve">AÇÃO DIRETA DE INCONSTITUCIONALIDADE. OBJETO. Lei Complementar nº 3.223, de 10 de abril de 2024, do Município de Ribeirão Preto, cujo conteúdo normativo altera o Código Municipal do Meio Ambiente e fixa limites máximos de pressão sonora autorizados no Município de Ribeirão Preto, além de determinar procedimentos de fiscalização e estabelecer exceções. PARÂMETROS DE CONSTITUCIONALIDADE. Artigos 180, incisos II e III, 181, 191 e 193, todos da Constituição do Estado de São Paulo. INCONSTITUCIONALIDADE FORMAL. Arguição pelo Prefeito de Ribeirão Preto. Lei suscitada que versa sobre uso e ocupação do solo e meio ambiente (poluição sonora), estabelecendo limites máximos de ruídos permitidos. Ausência de participação popular mínima apta garantir obediência à norma constitucional. Violação ao devido processo legislativo, a fulminar a </w:t>
      </w:r>
      <w:r w:rsidRPr="00876D33">
        <w:rPr>
          <w:rFonts w:ascii="Courier New" w:hAnsi="Courier New" w:cs="Courier New"/>
        </w:rPr>
        <w:t xml:space="preserve">constitucionalidade da norma. CAUSA PETENDI ABERTA. Inaplicabilidade do princípio da adstrição no julgamento de ações de controle concentrado de constitucionalidade. Competência legislativa do Município para legislar sobre o meio ambiente, suplementando a disciplina dos demais entes federados, sedimentada pelo Tema 145 de Repercussão Geral, do E. STF. Impossibilidade de edição de normas menos protetivas, </w:t>
      </w:r>
      <w:r w:rsidRPr="00876D33">
        <w:rPr>
          <w:rFonts w:ascii="Courier New" w:hAnsi="Courier New" w:cs="Courier New"/>
        </w:rPr>
        <w:t>ex</w:t>
      </w:r>
      <w:r w:rsidRPr="00876D33">
        <w:rPr>
          <w:rFonts w:ascii="Courier New" w:hAnsi="Courier New" w:cs="Courier New"/>
        </w:rPr>
        <w:t xml:space="preserve"> vi do julgamento da ADPF 567. CONAMA, órgão consultivo da União, estabeleceu as regras gerais sobre emissão de ruídos, na Resolução nº 01/90, com referências às </w:t>
      </w:r>
      <w:r w:rsidRPr="00876D33">
        <w:rPr>
          <w:rFonts w:ascii="Courier New" w:hAnsi="Courier New" w:cs="Courier New"/>
        </w:rPr>
        <w:t>NBRs</w:t>
      </w:r>
      <w:r w:rsidRPr="00876D33">
        <w:rPr>
          <w:rFonts w:ascii="Courier New" w:hAnsi="Courier New" w:cs="Courier New"/>
        </w:rPr>
        <w:t xml:space="preserve"> 10.151 e 10.152 da ABNT. Dispositivos da lei impugnada que criam indevidas exceções aos limites de pressão sonora autorizados pela normativa federal de regência, violando o pacto federativo. PEDIDO JULGADO PROCEDENTE.</w:t>
      </w:r>
      <w:r>
        <w:rPr>
          <w:rFonts w:ascii="Courier New" w:hAnsi="Courier New" w:cs="Courier New"/>
        </w:rPr>
        <w:t xml:space="preserve"> </w:t>
      </w:r>
      <w:r w:rsidRPr="00876D33">
        <w:rPr>
          <w:rFonts w:ascii="Courier New" w:hAnsi="Courier New" w:cs="Courier New"/>
        </w:rPr>
        <w:t>(</w:t>
      </w:r>
      <w:r w:rsidRPr="00876D33">
        <w:rPr>
          <w:rFonts w:ascii="Courier New" w:hAnsi="Courier New" w:cs="Courier New"/>
        </w:rPr>
        <w:t>TJ-SP</w:t>
      </w:r>
      <w:r w:rsidRPr="00876D33">
        <w:rPr>
          <w:rFonts w:ascii="Courier New" w:hAnsi="Courier New" w:cs="Courier New"/>
        </w:rPr>
        <w:t xml:space="preserve"> - Direta de Inconstitucionalidade: 21443103120248260000 São Paulo, Relator: Carlos Monnerat, Data de Julgamento: 13/11/2024, Órgão Especial, Data de Publicação: 17/11/2024)</w:t>
      </w:r>
    </w:p>
    <w:p w:rsidR="00876D33" w:rsidP="00876D33" w14:paraId="1B1BF8C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RPr="00876D33" w:rsidP="00876D33" w14:paraId="17D59E19" w14:textId="7CF5D17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 xml:space="preserve">A gestão democrática da cidade é um imperativo constitucional que garante a transparência e a moralidade administrativa </w:t>
      </w:r>
    </w:p>
    <w:p w:rsidR="00861435" w:rsidRPr="00861435" w:rsidP="00861435" w14:paraId="7B69F2F5" w14:textId="235EB74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1493" w:rsidP="005112EB" w14:paraId="04DE3612" w14:textId="517145CB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876D33">
        <w:rPr>
          <w:rFonts w:ascii="Courier New" w:hAnsi="Courier New" w:cs="Courier New"/>
        </w:rPr>
        <w:t>Direta de Inconstitucionalidade. Leis Complementares nº 86, de 19 de setembro de 2022, que "inclui no perímetro urbano área que especifica e dá outras providências", e nº 88, de 28 de novembro de 2022, ambas do Município de Mirassolândia. Ausência total de participação popular no desenvolvimento urbano. Estudo técnico superficial e insuficiente. Necessidade de realização de debates, audiências e consultas públicas no processo de elaboração de lei que trata sobre matéria urbanística ao incluir áreas rurais em perímetro urbano. Gestão democrática da cidade que garante a participação da população e de entidades comunitárias. Violação aos princípios da participação popular, da publicidade, da transparência e da moralidade administrativa. Violação aos artigos 180, II e V, 181 e 191, todos da Constituição Estadual. Precedentes deste C. Órgão Especial. Ação procedente.</w:t>
      </w:r>
      <w:r>
        <w:rPr>
          <w:rFonts w:ascii="Courier New" w:hAnsi="Courier New" w:cs="Courier New"/>
        </w:rPr>
        <w:t xml:space="preserve"> </w:t>
      </w:r>
      <w:r w:rsidRPr="00876D33">
        <w:rPr>
          <w:rFonts w:ascii="Courier New" w:hAnsi="Courier New" w:cs="Courier New"/>
        </w:rPr>
        <w:t>(</w:t>
      </w:r>
      <w:r w:rsidRPr="00876D33">
        <w:rPr>
          <w:rFonts w:ascii="Courier New" w:hAnsi="Courier New" w:cs="Courier New"/>
        </w:rPr>
        <w:t>TJ-SP</w:t>
      </w:r>
      <w:r w:rsidRPr="00876D33">
        <w:rPr>
          <w:rFonts w:ascii="Courier New" w:hAnsi="Courier New" w:cs="Courier New"/>
        </w:rPr>
        <w:t xml:space="preserve"> - Direta de Inconstitucionalidade: 22875700620238260000 São Paulo, Relator: Damião </w:t>
      </w:r>
      <w:r w:rsidRPr="00876D33">
        <w:rPr>
          <w:rFonts w:ascii="Courier New" w:hAnsi="Courier New" w:cs="Courier New"/>
        </w:rPr>
        <w:t>Cogan</w:t>
      </w:r>
      <w:r w:rsidRPr="00876D33">
        <w:rPr>
          <w:rFonts w:ascii="Courier New" w:hAnsi="Courier New" w:cs="Courier New"/>
        </w:rPr>
        <w:t>, Data de Julgamento: 04/09/2024, Órgão Especial, Data de Publicação: 06/09/2024)</w:t>
      </w:r>
    </w:p>
    <w:p w:rsidR="00744E1D" w:rsidP="00D365E5" w14:paraId="07BC95AD" w14:textId="5BCD168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6D33" w:rsidP="00876D33" w14:paraId="3361D44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 xml:space="preserve">A doutrina de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Hely Lopes Meirelles</w:t>
      </w:r>
      <w:r w:rsidRPr="00876D33">
        <w:rPr>
          <w:rFonts w:ascii="Courier New" w:hAnsi="Courier New" w:cs="Courier New"/>
          <w:sz w:val="22"/>
          <w:szCs w:val="22"/>
        </w:rPr>
        <w:t xml:space="preserve"> reforça que o planejamento urbano deve ser participativo, sob pena de nulidade por desvio de finalidade social (MEIRELLES, Hely Lopes. </w:t>
      </w:r>
      <w:r w:rsidRPr="00876D33">
        <w:rPr>
          <w:rFonts w:ascii="Courier New" w:hAnsi="Courier New" w:cs="Courier New"/>
          <w:i/>
          <w:iCs/>
          <w:sz w:val="22"/>
          <w:szCs w:val="22"/>
        </w:rPr>
        <w:t>Direito Municipal Brasileiro</w:t>
      </w:r>
      <w:r w:rsidRPr="00876D33">
        <w:rPr>
          <w:rFonts w:ascii="Courier New" w:hAnsi="Courier New" w:cs="Courier New"/>
          <w:sz w:val="22"/>
          <w:szCs w:val="22"/>
        </w:rPr>
        <w:t>. 23ª ed. São Paulo: Malheiros, 2026).</w:t>
      </w:r>
    </w:p>
    <w:p w:rsidR="00876D33" w:rsidP="00876D33" w14:paraId="1E43D214" w14:textId="4BA9279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b/>
          <w:bCs/>
          <w:sz w:val="22"/>
          <w:szCs w:val="22"/>
        </w:rPr>
        <w:t>Maria Sylvia Zanella Di Pietro</w:t>
      </w:r>
      <w:r w:rsidRPr="00876D33">
        <w:rPr>
          <w:rFonts w:ascii="Courier New" w:hAnsi="Courier New" w:cs="Courier New"/>
          <w:sz w:val="22"/>
          <w:szCs w:val="22"/>
        </w:rPr>
        <w:t xml:space="preserve"> pontua que a publicidade e o acesso à informação são requisitos de eficácia de qualquer ato administrativo expropriatório (DI PIETRO, Maria Sylvia Zanella. </w:t>
      </w:r>
      <w:r w:rsidRPr="00876D33">
        <w:rPr>
          <w:rFonts w:ascii="Courier New" w:hAnsi="Courier New" w:cs="Courier New"/>
          <w:i/>
          <w:iCs/>
          <w:sz w:val="22"/>
          <w:szCs w:val="22"/>
        </w:rPr>
        <w:t>Direito Administrativo</w:t>
      </w:r>
      <w:r w:rsidRPr="00876D33">
        <w:rPr>
          <w:rFonts w:ascii="Courier New" w:hAnsi="Courier New" w:cs="Courier New"/>
          <w:sz w:val="22"/>
          <w:szCs w:val="22"/>
        </w:rPr>
        <w:t>. 36ª ed. Rio de Janeiro: Forense, 2023).</w:t>
      </w:r>
    </w:p>
    <w:p w:rsidR="00876D33" w:rsidRPr="00876D33" w:rsidP="00876D33" w14:paraId="1CFAF696" w14:textId="7DF7960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 xml:space="preserve">Complementarmente,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José dos Santos Carvalho Filho</w:t>
      </w:r>
      <w:r w:rsidRPr="00876D33">
        <w:rPr>
          <w:rFonts w:ascii="Courier New" w:hAnsi="Courier New" w:cs="Courier New"/>
          <w:sz w:val="22"/>
          <w:szCs w:val="22"/>
        </w:rPr>
        <w:t xml:space="preserve"> defende que o controle social é o pilar da administração moderna, sendo o </w:t>
      </w:r>
      <w:r w:rsidRPr="00876D33">
        <w:rPr>
          <w:rFonts w:ascii="Courier New" w:hAnsi="Courier New" w:cs="Courier New"/>
          <w:sz w:val="22"/>
          <w:szCs w:val="22"/>
        </w:rPr>
        <w:t>EIV</w:t>
      </w:r>
      <w:r w:rsidRPr="00876D33">
        <w:rPr>
          <w:rFonts w:ascii="Courier New" w:hAnsi="Courier New" w:cs="Courier New"/>
          <w:sz w:val="22"/>
          <w:szCs w:val="22"/>
        </w:rPr>
        <w:t xml:space="preserve"> instrumento indispensável para a validade de grandes intervenções </w:t>
      </w:r>
      <w:r w:rsidRPr="00876D33">
        <w:rPr>
          <w:rFonts w:ascii="Courier New" w:hAnsi="Courier New" w:cs="Courier New"/>
          <w:sz w:val="22"/>
          <w:szCs w:val="22"/>
        </w:rPr>
        <w:t xml:space="preserve">(CARVALHO FILHO, José dos Santos. </w:t>
      </w:r>
      <w:r w:rsidRPr="00876D33">
        <w:rPr>
          <w:rFonts w:ascii="Courier New" w:hAnsi="Courier New" w:cs="Courier New"/>
          <w:i/>
          <w:iCs/>
          <w:sz w:val="22"/>
          <w:szCs w:val="22"/>
        </w:rPr>
        <w:t>Manual de Direito Administrativo</w:t>
      </w:r>
      <w:r w:rsidRPr="00876D33">
        <w:rPr>
          <w:rFonts w:ascii="Courier New" w:hAnsi="Courier New" w:cs="Courier New"/>
          <w:sz w:val="22"/>
          <w:szCs w:val="22"/>
        </w:rPr>
        <w:t>. 40ª ed. Barueri: Atlas, 2026).</w:t>
      </w:r>
    </w:p>
    <w:p w:rsidR="00491493" w:rsidP="00D365E5" w14:paraId="7EB21F3D" w14:textId="35836B0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6D33">
        <w:rPr>
          <w:rFonts w:ascii="Courier New" w:hAnsi="Courier New" w:cs="Courier New"/>
          <w:sz w:val="22"/>
          <w:szCs w:val="22"/>
        </w:rPr>
        <w:t xml:space="preserve">Sustentam esta medida os princípios da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Publicidade</w:t>
      </w:r>
      <w:r w:rsidRPr="00876D33">
        <w:rPr>
          <w:rFonts w:ascii="Courier New" w:hAnsi="Courier New" w:cs="Courier New"/>
          <w:sz w:val="22"/>
          <w:szCs w:val="22"/>
        </w:rPr>
        <w:t xml:space="preserve">, da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Gestão Democrática da Cidade</w:t>
      </w:r>
      <w:r w:rsidRPr="00876D33">
        <w:rPr>
          <w:rFonts w:ascii="Courier New" w:hAnsi="Courier New" w:cs="Courier New"/>
          <w:sz w:val="22"/>
          <w:szCs w:val="22"/>
        </w:rPr>
        <w:t xml:space="preserve"> (Estatuto da Cidade) e o princípio internacional da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Participação Comunitária</w:t>
      </w:r>
      <w:r w:rsidRPr="00876D33">
        <w:rPr>
          <w:rFonts w:ascii="Courier New" w:hAnsi="Courier New" w:cs="Courier New"/>
          <w:sz w:val="22"/>
          <w:szCs w:val="22"/>
        </w:rPr>
        <w:t xml:space="preserve"> (Convenção de Aarhus). O letramento legal baseia-se no </w:t>
      </w:r>
      <w:r w:rsidRPr="00876D33">
        <w:rPr>
          <w:rFonts w:ascii="Courier New" w:hAnsi="Courier New" w:cs="Courier New"/>
          <w:b/>
          <w:bCs/>
          <w:sz w:val="22"/>
          <w:szCs w:val="22"/>
        </w:rPr>
        <w:t>Art. 2º, II da Lei nº 10.257/2001 (Estatuto da Cidade)</w:t>
      </w:r>
      <w:r w:rsidRPr="00876D33">
        <w:rPr>
          <w:rFonts w:ascii="Courier New" w:hAnsi="Courier New" w:cs="Courier New"/>
          <w:sz w:val="22"/>
          <w:szCs w:val="22"/>
        </w:rPr>
        <w:t xml:space="preserve">, que garante a gestão democrática. Invoca-se o brocardo 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Salus 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>populi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suprema 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>lex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876D33">
        <w:rPr>
          <w:rFonts w:ascii="Courier New" w:hAnsi="Courier New" w:cs="Courier New"/>
          <w:b/>
          <w:bCs/>
          <w:i/>
          <w:iCs/>
          <w:sz w:val="22"/>
          <w:szCs w:val="22"/>
        </w:rPr>
        <w:t>esto</w:t>
      </w:r>
      <w:r w:rsidRPr="00876D33">
        <w:rPr>
          <w:rFonts w:ascii="Courier New" w:hAnsi="Courier New" w:cs="Courier New"/>
          <w:sz w:val="22"/>
          <w:szCs w:val="22"/>
        </w:rPr>
        <w:t xml:space="preserve"> ("A saúde/bem-estar do povo seja a lei suprema"), justificando que o interesse da coletividade em conhecer o projeto deve sobrepor-se à celeridade administrativa.</w:t>
      </w:r>
    </w:p>
    <w:sectPr w:rsidSect="00AE21BC">
      <w:headerReference w:type="default" r:id="rId6"/>
      <w:footerReference w:type="default" r:id="rId7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A92889"/>
    <w:multiLevelType w:val="hybridMultilevel"/>
    <w:tmpl w:val="2176295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43256"/>
    <w:rsid w:val="00056D9C"/>
    <w:rsid w:val="00066D52"/>
    <w:rsid w:val="00076553"/>
    <w:rsid w:val="0008637B"/>
    <w:rsid w:val="000B4EDA"/>
    <w:rsid w:val="000B5735"/>
    <w:rsid w:val="000D4177"/>
    <w:rsid w:val="000E1F8A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04C3"/>
    <w:rsid w:val="001610A9"/>
    <w:rsid w:val="001634D3"/>
    <w:rsid w:val="00165F25"/>
    <w:rsid w:val="00176E7E"/>
    <w:rsid w:val="00182771"/>
    <w:rsid w:val="00183AF0"/>
    <w:rsid w:val="001949B0"/>
    <w:rsid w:val="001959EF"/>
    <w:rsid w:val="001A39DE"/>
    <w:rsid w:val="001B42BA"/>
    <w:rsid w:val="001B4DF9"/>
    <w:rsid w:val="001C3AA6"/>
    <w:rsid w:val="001C5FCD"/>
    <w:rsid w:val="001D21A6"/>
    <w:rsid w:val="001F2270"/>
    <w:rsid w:val="00200F1C"/>
    <w:rsid w:val="00241452"/>
    <w:rsid w:val="0024425A"/>
    <w:rsid w:val="00245209"/>
    <w:rsid w:val="00257241"/>
    <w:rsid w:val="0027575E"/>
    <w:rsid w:val="002859C6"/>
    <w:rsid w:val="00296637"/>
    <w:rsid w:val="00296EA6"/>
    <w:rsid w:val="002B572E"/>
    <w:rsid w:val="002C14C0"/>
    <w:rsid w:val="002C423A"/>
    <w:rsid w:val="002C4498"/>
    <w:rsid w:val="002C6AAE"/>
    <w:rsid w:val="002C7266"/>
    <w:rsid w:val="002D25FF"/>
    <w:rsid w:val="002D2C82"/>
    <w:rsid w:val="002D68CE"/>
    <w:rsid w:val="002D704B"/>
    <w:rsid w:val="002F169E"/>
    <w:rsid w:val="002F76C7"/>
    <w:rsid w:val="00307AFD"/>
    <w:rsid w:val="00320D4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77039"/>
    <w:rsid w:val="003800BC"/>
    <w:rsid w:val="00386202"/>
    <w:rsid w:val="00390E26"/>
    <w:rsid w:val="003A0C73"/>
    <w:rsid w:val="003A27C4"/>
    <w:rsid w:val="003C0749"/>
    <w:rsid w:val="003C0F80"/>
    <w:rsid w:val="003E0416"/>
    <w:rsid w:val="00401038"/>
    <w:rsid w:val="00402140"/>
    <w:rsid w:val="00426E1A"/>
    <w:rsid w:val="00452524"/>
    <w:rsid w:val="004622A3"/>
    <w:rsid w:val="00465074"/>
    <w:rsid w:val="00465614"/>
    <w:rsid w:val="00466795"/>
    <w:rsid w:val="00466BE7"/>
    <w:rsid w:val="00481B75"/>
    <w:rsid w:val="0048216C"/>
    <w:rsid w:val="00491493"/>
    <w:rsid w:val="004C4CD8"/>
    <w:rsid w:val="004C7ED8"/>
    <w:rsid w:val="004D0063"/>
    <w:rsid w:val="004D1A0E"/>
    <w:rsid w:val="004E4ADA"/>
    <w:rsid w:val="004E6D12"/>
    <w:rsid w:val="004F1BCE"/>
    <w:rsid w:val="004F7A40"/>
    <w:rsid w:val="00507EC7"/>
    <w:rsid w:val="00510DC1"/>
    <w:rsid w:val="005112EB"/>
    <w:rsid w:val="0051564A"/>
    <w:rsid w:val="00521BE4"/>
    <w:rsid w:val="00537FEA"/>
    <w:rsid w:val="00564B9E"/>
    <w:rsid w:val="0057381F"/>
    <w:rsid w:val="005831E1"/>
    <w:rsid w:val="0059377F"/>
    <w:rsid w:val="005C5121"/>
    <w:rsid w:val="005D014E"/>
    <w:rsid w:val="005D1A64"/>
    <w:rsid w:val="005E0EA4"/>
    <w:rsid w:val="005E33D2"/>
    <w:rsid w:val="005F3390"/>
    <w:rsid w:val="005F4015"/>
    <w:rsid w:val="005F4D88"/>
    <w:rsid w:val="005F72BF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949CD"/>
    <w:rsid w:val="006B2CD0"/>
    <w:rsid w:val="006B701B"/>
    <w:rsid w:val="006C3627"/>
    <w:rsid w:val="006C51EA"/>
    <w:rsid w:val="006D01AE"/>
    <w:rsid w:val="006D31CD"/>
    <w:rsid w:val="006D56EE"/>
    <w:rsid w:val="006E31FD"/>
    <w:rsid w:val="006E53F2"/>
    <w:rsid w:val="006F1586"/>
    <w:rsid w:val="006F3588"/>
    <w:rsid w:val="00704898"/>
    <w:rsid w:val="00720772"/>
    <w:rsid w:val="007214E8"/>
    <w:rsid w:val="007256BA"/>
    <w:rsid w:val="00727359"/>
    <w:rsid w:val="00744E1D"/>
    <w:rsid w:val="00744EB9"/>
    <w:rsid w:val="00744EFF"/>
    <w:rsid w:val="00747418"/>
    <w:rsid w:val="00747F3E"/>
    <w:rsid w:val="00752E8A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587D"/>
    <w:rsid w:val="00826BB5"/>
    <w:rsid w:val="008356D5"/>
    <w:rsid w:val="0084452E"/>
    <w:rsid w:val="00861435"/>
    <w:rsid w:val="00865897"/>
    <w:rsid w:val="0087229F"/>
    <w:rsid w:val="00876D33"/>
    <w:rsid w:val="0088408C"/>
    <w:rsid w:val="008844E4"/>
    <w:rsid w:val="008A0234"/>
    <w:rsid w:val="008A26DA"/>
    <w:rsid w:val="008A3CBB"/>
    <w:rsid w:val="008A7123"/>
    <w:rsid w:val="008C2FCC"/>
    <w:rsid w:val="008C42BB"/>
    <w:rsid w:val="008C4586"/>
    <w:rsid w:val="008D0052"/>
    <w:rsid w:val="008D10B2"/>
    <w:rsid w:val="008E2705"/>
    <w:rsid w:val="00923162"/>
    <w:rsid w:val="009269AB"/>
    <w:rsid w:val="0094153C"/>
    <w:rsid w:val="00947FC5"/>
    <w:rsid w:val="00954EDC"/>
    <w:rsid w:val="00962D1C"/>
    <w:rsid w:val="009864DB"/>
    <w:rsid w:val="00986774"/>
    <w:rsid w:val="00991752"/>
    <w:rsid w:val="00995807"/>
    <w:rsid w:val="009974FC"/>
    <w:rsid w:val="009A34E3"/>
    <w:rsid w:val="009A3921"/>
    <w:rsid w:val="009B5BE4"/>
    <w:rsid w:val="009B7E1C"/>
    <w:rsid w:val="009F61CE"/>
    <w:rsid w:val="009F6628"/>
    <w:rsid w:val="00A164B8"/>
    <w:rsid w:val="00A23C0E"/>
    <w:rsid w:val="00A331D9"/>
    <w:rsid w:val="00A42886"/>
    <w:rsid w:val="00A442EC"/>
    <w:rsid w:val="00A47FF5"/>
    <w:rsid w:val="00A51AA5"/>
    <w:rsid w:val="00A56606"/>
    <w:rsid w:val="00A57636"/>
    <w:rsid w:val="00A60362"/>
    <w:rsid w:val="00A608BC"/>
    <w:rsid w:val="00A72861"/>
    <w:rsid w:val="00A8211F"/>
    <w:rsid w:val="00A83754"/>
    <w:rsid w:val="00A946B4"/>
    <w:rsid w:val="00A95CC5"/>
    <w:rsid w:val="00A966BE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437C9"/>
    <w:rsid w:val="00B57E9C"/>
    <w:rsid w:val="00B61FB6"/>
    <w:rsid w:val="00B620CC"/>
    <w:rsid w:val="00B62CC6"/>
    <w:rsid w:val="00B638BB"/>
    <w:rsid w:val="00B75636"/>
    <w:rsid w:val="00B859E6"/>
    <w:rsid w:val="00B85B25"/>
    <w:rsid w:val="00B90DF4"/>
    <w:rsid w:val="00B97728"/>
    <w:rsid w:val="00BA0023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44517"/>
    <w:rsid w:val="00C61B9C"/>
    <w:rsid w:val="00C65556"/>
    <w:rsid w:val="00C734FC"/>
    <w:rsid w:val="00C73C43"/>
    <w:rsid w:val="00C93A58"/>
    <w:rsid w:val="00C95BB4"/>
    <w:rsid w:val="00CA4CE7"/>
    <w:rsid w:val="00CC385D"/>
    <w:rsid w:val="00CC4ACB"/>
    <w:rsid w:val="00CD7AA0"/>
    <w:rsid w:val="00CF7FCD"/>
    <w:rsid w:val="00D01D06"/>
    <w:rsid w:val="00D168E9"/>
    <w:rsid w:val="00D208C4"/>
    <w:rsid w:val="00D30EC1"/>
    <w:rsid w:val="00D33B3A"/>
    <w:rsid w:val="00D34085"/>
    <w:rsid w:val="00D365E5"/>
    <w:rsid w:val="00D464E5"/>
    <w:rsid w:val="00D47ECB"/>
    <w:rsid w:val="00D550D7"/>
    <w:rsid w:val="00D64727"/>
    <w:rsid w:val="00D64BE1"/>
    <w:rsid w:val="00D706B5"/>
    <w:rsid w:val="00D73096"/>
    <w:rsid w:val="00D80661"/>
    <w:rsid w:val="00D878CD"/>
    <w:rsid w:val="00DA1EBB"/>
    <w:rsid w:val="00DA3C95"/>
    <w:rsid w:val="00DD1C8A"/>
    <w:rsid w:val="00DD1D31"/>
    <w:rsid w:val="00DD36B8"/>
    <w:rsid w:val="00DD547B"/>
    <w:rsid w:val="00DF1018"/>
    <w:rsid w:val="00DF249B"/>
    <w:rsid w:val="00E079A8"/>
    <w:rsid w:val="00E144CB"/>
    <w:rsid w:val="00E14DC4"/>
    <w:rsid w:val="00E26DB0"/>
    <w:rsid w:val="00E313E0"/>
    <w:rsid w:val="00E35BAE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4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75</cp:revision>
  <cp:lastPrinted>2026-05-15T11:53:44Z</cp:lastPrinted>
  <dcterms:created xsi:type="dcterms:W3CDTF">2026-01-09T01:35:00Z</dcterms:created>
  <dcterms:modified xsi:type="dcterms:W3CDTF">2026-05-15T01:22:00Z</dcterms:modified>
</cp:coreProperties>
</file>