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4 ao Projeto de Lei Nº 49/2026</w:t>
      </w:r>
      <w:r w:rsidRPr="00465074">
        <w:rPr>
          <w:rFonts w:ascii="Courier New" w:hAnsi="Courier New" w:cs="Courier New"/>
          <w:b/>
          <w:bCs/>
          <w:kern w:val="3"/>
          <w:sz w:val="24"/>
          <w:szCs w:val="24"/>
        </w:rPr>
        <w:t>Emenda Nº 4 ao Projeto de Lei Nº 49/2026</w:t>
      </w: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4D38F524">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00491493">
        <w:rPr>
          <w:rFonts w:ascii="Courier New" w:hAnsi="Courier New" w:cs="Courier New"/>
          <w:i/>
          <w:iCs/>
          <w:kern w:val="3"/>
          <w:sz w:val="22"/>
          <w:szCs w:val="22"/>
        </w:rPr>
        <w:t>MODIFICATIVA</w:t>
      </w:r>
      <w:r w:rsidR="005831E1">
        <w:rPr>
          <w:rFonts w:ascii="Courier New" w:hAnsi="Courier New" w:cs="Courier New"/>
          <w:i/>
          <w:iCs/>
          <w:kern w:val="3"/>
          <w:sz w:val="22"/>
          <w:szCs w:val="22"/>
        </w:rPr>
        <w:t xml:space="preserve"> </w:t>
      </w:r>
      <w:r w:rsidRPr="00A164B8" w:rsidR="00A164B8">
        <w:rPr>
          <w:rFonts w:ascii="Courier New" w:hAnsi="Courier New" w:cs="Courier New"/>
          <w:i/>
          <w:iCs/>
          <w:kern w:val="3"/>
          <w:sz w:val="22"/>
          <w:szCs w:val="22"/>
        </w:rPr>
        <w:t xml:space="preserve">AO PROJETO DE LEI Nº </w:t>
      </w:r>
      <w:r w:rsidR="00491493">
        <w:rPr>
          <w:rFonts w:ascii="Courier New" w:hAnsi="Courier New" w:cs="Courier New"/>
          <w:i/>
          <w:iCs/>
          <w:kern w:val="3"/>
          <w:sz w:val="22"/>
          <w:szCs w:val="22"/>
        </w:rPr>
        <w:t>49</w:t>
      </w:r>
      <w:r w:rsidR="00C44517">
        <w:rPr>
          <w:rFonts w:ascii="Courier New" w:hAnsi="Courier New" w:cs="Courier New"/>
          <w:i/>
          <w:iCs/>
          <w:kern w:val="3"/>
          <w:sz w:val="22"/>
          <w:szCs w:val="22"/>
        </w:rPr>
        <w:t>/202</w:t>
      </w:r>
      <w:r w:rsidR="00491493">
        <w:rPr>
          <w:rFonts w:ascii="Courier New" w:hAnsi="Courier New" w:cs="Courier New"/>
          <w:i/>
          <w:iCs/>
          <w:kern w:val="3"/>
          <w:sz w:val="22"/>
          <w:szCs w:val="22"/>
        </w:rPr>
        <w:t>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13504BEA">
      <w:pPr>
        <w:spacing w:before="120" w:after="120" w:line="276" w:lineRule="auto"/>
        <w:ind w:firstLine="708"/>
        <w:jc w:val="both"/>
        <w:rPr>
          <w:rFonts w:ascii="Courier New" w:hAnsi="Courier New" w:cs="Courier New"/>
          <w:sz w:val="22"/>
          <w:szCs w:val="22"/>
        </w:rPr>
      </w:pPr>
      <w:r w:rsidRPr="002C27CC">
        <w:rPr>
          <w:rFonts w:ascii="Courier New" w:hAnsi="Courier New" w:cs="Courier New"/>
          <w:sz w:val="22"/>
          <w:szCs w:val="22"/>
        </w:rPr>
        <w:t>Modifica o inciso II</w:t>
      </w:r>
      <w:r w:rsidR="00784ED8">
        <w:rPr>
          <w:rFonts w:ascii="Courier New" w:hAnsi="Courier New" w:cs="Courier New"/>
          <w:sz w:val="22"/>
          <w:szCs w:val="22"/>
        </w:rPr>
        <w:t>, alínea “b”</w:t>
      </w:r>
      <w:r w:rsidR="001F7276">
        <w:rPr>
          <w:rFonts w:ascii="Courier New" w:hAnsi="Courier New" w:cs="Courier New"/>
          <w:sz w:val="22"/>
          <w:szCs w:val="22"/>
        </w:rPr>
        <w:t xml:space="preserve"> e “c”</w:t>
      </w:r>
      <w:r w:rsidRPr="002C27CC">
        <w:rPr>
          <w:rFonts w:ascii="Courier New" w:hAnsi="Courier New" w:cs="Courier New"/>
          <w:sz w:val="22"/>
          <w:szCs w:val="22"/>
        </w:rPr>
        <w:t xml:space="preserve"> do Artigo 5º do Projeto de Lei nº 49, de 2026, que passa a vigorar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491493" w:rsidP="00010A9F" w14:paraId="51085C9D" w14:textId="21AB9029">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1604C3" w:rsidR="001604C3">
        <w:rPr>
          <w:rFonts w:ascii="Courier New" w:hAnsi="Courier New" w:cs="Courier New"/>
          <w:b/>
          <w:bCs/>
          <w:sz w:val="22"/>
          <w:szCs w:val="22"/>
        </w:rPr>
        <w:t xml:space="preserve">Art. </w:t>
      </w:r>
      <w:r w:rsidR="002C27CC">
        <w:rPr>
          <w:rFonts w:ascii="Courier New" w:hAnsi="Courier New" w:cs="Courier New"/>
          <w:b/>
          <w:bCs/>
          <w:sz w:val="22"/>
          <w:szCs w:val="22"/>
        </w:rPr>
        <w:t>5</w:t>
      </w:r>
      <w:r w:rsidRPr="001604C3" w:rsidR="001604C3">
        <w:rPr>
          <w:rFonts w:ascii="Courier New" w:hAnsi="Courier New" w:cs="Courier New"/>
          <w:b/>
          <w:bCs/>
          <w:sz w:val="22"/>
          <w:szCs w:val="22"/>
        </w:rPr>
        <w:t>º</w:t>
      </w:r>
      <w:r w:rsidRPr="001604C3" w:rsidR="001604C3">
        <w:rPr>
          <w:rFonts w:ascii="Courier New" w:hAnsi="Courier New" w:cs="Courier New"/>
          <w:sz w:val="22"/>
          <w:szCs w:val="22"/>
        </w:rPr>
        <w:t xml:space="preserve"> </w:t>
      </w:r>
      <w:r>
        <w:rPr>
          <w:rFonts w:ascii="Courier New" w:hAnsi="Courier New" w:cs="Courier New"/>
          <w:sz w:val="22"/>
          <w:szCs w:val="22"/>
        </w:rPr>
        <w:t>[...]</w:t>
      </w:r>
    </w:p>
    <w:p w:rsidR="002C27CC" w:rsidP="00010A9F" w14:paraId="79224ED1" w14:textId="4E516F07">
      <w:pPr>
        <w:spacing w:before="120" w:after="120" w:line="276" w:lineRule="auto"/>
        <w:jc w:val="both"/>
        <w:rPr>
          <w:rFonts w:ascii="Courier New" w:hAnsi="Courier New" w:cs="Courier New"/>
          <w:sz w:val="22"/>
          <w:szCs w:val="22"/>
        </w:rPr>
      </w:pPr>
      <w:r>
        <w:rPr>
          <w:rFonts w:ascii="Courier New" w:hAnsi="Courier New" w:cs="Courier New"/>
          <w:b/>
          <w:bCs/>
          <w:sz w:val="22"/>
          <w:szCs w:val="22"/>
        </w:rPr>
        <w:t xml:space="preserve">II </w:t>
      </w:r>
      <w:r w:rsidRPr="00491493" w:rsidR="00491493">
        <w:rPr>
          <w:rFonts w:ascii="Courier New" w:hAnsi="Courier New" w:cs="Courier New"/>
          <w:b/>
          <w:bCs/>
          <w:sz w:val="22"/>
          <w:szCs w:val="22"/>
        </w:rPr>
        <w:t>-</w:t>
      </w:r>
      <w:r w:rsidR="00491493">
        <w:rPr>
          <w:rFonts w:ascii="Courier New" w:hAnsi="Courier New" w:cs="Courier New"/>
          <w:sz w:val="22"/>
          <w:szCs w:val="22"/>
        </w:rPr>
        <w:t xml:space="preserve"> </w:t>
      </w:r>
      <w:r>
        <w:rPr>
          <w:rFonts w:ascii="Courier New" w:hAnsi="Courier New" w:cs="Courier New"/>
          <w:sz w:val="22"/>
          <w:szCs w:val="22"/>
        </w:rPr>
        <w:t>R</w:t>
      </w:r>
      <w:r w:rsidRPr="002C27CC">
        <w:rPr>
          <w:rFonts w:ascii="Courier New" w:hAnsi="Courier New" w:cs="Courier New"/>
          <w:sz w:val="22"/>
          <w:szCs w:val="22"/>
        </w:rPr>
        <w:t>epresentantes da Sociedade Civil:</w:t>
      </w:r>
    </w:p>
    <w:p w:rsidR="002C27CC" w:rsidP="00010A9F" w14:paraId="1BD5E107" w14:textId="2E472A8A">
      <w:pPr>
        <w:spacing w:before="120" w:after="120" w:line="276" w:lineRule="auto"/>
        <w:jc w:val="both"/>
        <w:rPr>
          <w:rFonts w:ascii="Courier New" w:hAnsi="Courier New" w:cs="Courier New"/>
          <w:sz w:val="22"/>
          <w:szCs w:val="22"/>
        </w:rPr>
      </w:pPr>
      <w:r w:rsidRPr="002C27CC">
        <w:rPr>
          <w:rFonts w:ascii="Courier New" w:hAnsi="Courier New" w:cs="Courier New"/>
          <w:b/>
          <w:bCs/>
          <w:sz w:val="22"/>
          <w:szCs w:val="22"/>
        </w:rPr>
        <w:t>b)</w:t>
      </w:r>
      <w:r w:rsidRPr="002C27CC">
        <w:rPr>
          <w:rFonts w:ascii="Courier New" w:hAnsi="Courier New" w:cs="Courier New"/>
          <w:sz w:val="22"/>
          <w:szCs w:val="22"/>
        </w:rPr>
        <w:t xml:space="preserve"> </w:t>
      </w:r>
      <w:r w:rsidRPr="001F7276" w:rsidR="001F7276">
        <w:rPr>
          <w:rFonts w:ascii="Courier New" w:hAnsi="Courier New" w:cs="Courier New"/>
          <w:sz w:val="22"/>
          <w:szCs w:val="22"/>
        </w:rPr>
        <w:t>01 (um) representante de entidades de classe, alternando-se a indicação entre a Ordem dos Advogados (OAB) e a Associação Comercial (</w:t>
      </w:r>
      <w:r w:rsidRPr="001F7276" w:rsidR="001F7276">
        <w:rPr>
          <w:rFonts w:ascii="Courier New" w:hAnsi="Courier New" w:cs="Courier New"/>
          <w:sz w:val="22"/>
          <w:szCs w:val="22"/>
        </w:rPr>
        <w:t>ACIMM</w:t>
      </w:r>
      <w:r w:rsidRPr="001F7276" w:rsidR="001F7276">
        <w:rPr>
          <w:rFonts w:ascii="Courier New" w:hAnsi="Courier New" w:cs="Courier New"/>
          <w:sz w:val="22"/>
          <w:szCs w:val="22"/>
        </w:rPr>
        <w:t>) a cada mandato</w:t>
      </w:r>
      <w:r w:rsidRPr="002C27CC">
        <w:rPr>
          <w:rFonts w:ascii="Courier New" w:hAnsi="Courier New" w:cs="Courier New"/>
          <w:sz w:val="22"/>
          <w:szCs w:val="22"/>
        </w:rPr>
        <w:t>;</w:t>
      </w:r>
    </w:p>
    <w:p w:rsidR="00E079A8" w:rsidP="00010A9F" w14:paraId="73D44D49" w14:textId="6DC78F6B">
      <w:pPr>
        <w:spacing w:before="120" w:after="120" w:line="276" w:lineRule="auto"/>
        <w:jc w:val="both"/>
        <w:rPr>
          <w:rFonts w:ascii="Courier New" w:hAnsi="Courier New" w:cs="Courier New"/>
          <w:sz w:val="22"/>
          <w:szCs w:val="22"/>
        </w:rPr>
      </w:pPr>
      <w:r w:rsidRPr="002C27CC">
        <w:rPr>
          <w:rFonts w:ascii="Courier New" w:hAnsi="Courier New" w:cs="Courier New"/>
          <w:b/>
          <w:bCs/>
          <w:sz w:val="22"/>
          <w:szCs w:val="22"/>
        </w:rPr>
        <w:t>c)</w:t>
      </w:r>
      <w:r w:rsidRPr="002C27CC">
        <w:rPr>
          <w:rFonts w:ascii="Courier New" w:hAnsi="Courier New" w:cs="Courier New"/>
          <w:sz w:val="22"/>
          <w:szCs w:val="22"/>
        </w:rPr>
        <w:t xml:space="preserve"> 02 (dois) representantes diretos das Pessoas com Deficiência</w:t>
      </w:r>
      <w:r w:rsidR="0088408C">
        <w:rPr>
          <w:rFonts w:ascii="Courier New" w:hAnsi="Courier New" w:cs="Courier New"/>
          <w:sz w:val="22"/>
          <w:szCs w:val="22"/>
        </w:rPr>
        <w:t>”</w:t>
      </w:r>
    </w:p>
    <w:p w:rsidR="0088408C" w:rsidP="00010A9F" w14:paraId="6612735D"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3C2F0B7A">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15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88526"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804B71" w:rsidP="00804B71" w14:paraId="38235934" w14:textId="16B55E41">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Esta emenda tem como objetivo central assegurar que o Conselho seja, de fato, a voz das pessoas com deficiência em nossa cidade, garantindo a elas o protagonismo que lhes é de direito.</w:t>
      </w:r>
      <w:r>
        <w:rPr>
          <w:rFonts w:ascii="Courier New" w:hAnsi="Courier New" w:cs="Courier New"/>
          <w:sz w:val="22"/>
          <w:szCs w:val="22"/>
        </w:rPr>
        <w:t xml:space="preserve"> </w:t>
      </w:r>
      <w:r w:rsidRPr="00804B71">
        <w:rPr>
          <w:rFonts w:ascii="Courier New" w:hAnsi="Courier New" w:cs="Courier New"/>
          <w:sz w:val="22"/>
          <w:szCs w:val="22"/>
        </w:rPr>
        <w:t>Ao refinarmos a representação das entidades de classe e, principalmente, ao garantirmos a presença de representantes diretos das pessoas com deficiência, estamos aplicando o lema internacional "Nada sobre nós, sem nós".</w:t>
      </w:r>
    </w:p>
    <w:p w:rsidR="00804B71" w:rsidRPr="00804B71" w:rsidP="00804B71" w14:paraId="0FDFD56A" w14:textId="2EC7918D">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 xml:space="preserve">A alternância entre OAB e </w:t>
      </w:r>
      <w:r w:rsidRPr="00804B71">
        <w:rPr>
          <w:rFonts w:ascii="Courier New" w:hAnsi="Courier New" w:cs="Courier New"/>
          <w:sz w:val="22"/>
          <w:szCs w:val="22"/>
        </w:rPr>
        <w:t>ACIMM</w:t>
      </w:r>
      <w:r w:rsidRPr="00804B71">
        <w:rPr>
          <w:rFonts w:ascii="Courier New" w:hAnsi="Courier New" w:cs="Courier New"/>
          <w:sz w:val="22"/>
          <w:szCs w:val="22"/>
        </w:rPr>
        <w:t xml:space="preserve"> traz equilíbrio e pluralidade técnica, enquanto a representação direta assegura que as decisões do Conselho reflitam a realidade vivida por quem enfrenta os desafios da acessibilidade e da inclusão diariamente.</w:t>
      </w:r>
    </w:p>
    <w:p w:rsidR="00804B71" w:rsidP="00804B71" w14:paraId="5D5691A3" w14:textId="77777777">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 xml:space="preserve">A legalidade desta alteração na composição do colegiado é ratificada pela jurisprudência, que valida emendas parlamentares que aprimoram a representatividade sem gerar custos. O </w:t>
      </w:r>
      <w:r w:rsidRPr="00804B71">
        <w:rPr>
          <w:rFonts w:ascii="Courier New" w:hAnsi="Courier New" w:cs="Courier New"/>
          <w:b/>
          <w:bCs/>
          <w:sz w:val="22"/>
          <w:szCs w:val="22"/>
        </w:rPr>
        <w:t>STF</w:t>
      </w:r>
      <w:r w:rsidRPr="00804B71">
        <w:rPr>
          <w:rFonts w:ascii="Courier New" w:hAnsi="Courier New" w:cs="Courier New"/>
          <w:sz w:val="22"/>
          <w:szCs w:val="22"/>
        </w:rPr>
        <w:t xml:space="preserve">, no </w:t>
      </w:r>
      <w:r w:rsidRPr="00804B71">
        <w:rPr>
          <w:rFonts w:ascii="Courier New" w:hAnsi="Courier New" w:cs="Courier New"/>
          <w:b/>
          <w:bCs/>
          <w:sz w:val="22"/>
          <w:szCs w:val="22"/>
        </w:rPr>
        <w:t>RE 1500208 RJ</w:t>
      </w:r>
      <w:r w:rsidRPr="00804B71">
        <w:rPr>
          <w:rFonts w:ascii="Courier New" w:hAnsi="Courier New" w:cs="Courier New"/>
          <w:sz w:val="22"/>
          <w:szCs w:val="22"/>
        </w:rPr>
        <w:t>, estabelece que a pertinência temática é o critério real para a validade da emenda, o que é evidente neste caso, pois trata-se da composição do próprio órgão em reestruturação</w:t>
      </w:r>
      <w:r>
        <w:rPr>
          <w:rFonts w:ascii="Courier New" w:hAnsi="Courier New" w:cs="Courier New"/>
          <w:sz w:val="22"/>
          <w:szCs w:val="22"/>
        </w:rPr>
        <w:t>:</w:t>
      </w:r>
    </w:p>
    <w:p w:rsidR="00804B71" w:rsidP="00804B71" w14:paraId="651C613C" w14:textId="77777777">
      <w:pPr>
        <w:spacing w:before="120" w:after="120" w:line="276" w:lineRule="auto"/>
        <w:ind w:firstLine="567"/>
        <w:jc w:val="both"/>
        <w:rPr>
          <w:rFonts w:ascii="Courier New" w:hAnsi="Courier New" w:cs="Courier New"/>
          <w:sz w:val="22"/>
          <w:szCs w:val="22"/>
        </w:rPr>
      </w:pPr>
    </w:p>
    <w:p w:rsidR="00804B71" w:rsidRPr="00491493" w:rsidP="00804B71" w14:paraId="0D712D09" w14:textId="0025411E">
      <w:pPr>
        <w:pBdr>
          <w:left w:val="single" w:sz="4" w:space="4" w:color="auto"/>
          <w:right w:val="single" w:sz="4" w:space="4" w:color="auto"/>
        </w:pBdr>
        <w:ind w:left="1701"/>
        <w:jc w:val="both"/>
        <w:rPr>
          <w:rFonts w:ascii="Courier New" w:hAnsi="Courier New" w:cs="Courier New"/>
        </w:rPr>
      </w:pPr>
      <w:r w:rsidRPr="00015089">
        <w:rPr>
          <w:rFonts w:ascii="Courier New" w:hAnsi="Courier New" w:cs="Courier New"/>
        </w:rPr>
        <w:t xml:space="preserve">Ementa: AGRAVO INTERNO. RECURSO EXTRAORDINÁRIO. ORGANIZAÇÃO E FUNCIONAMENTO DA ADMINISTRAÇÃO PÚBLICA. INICIATIVA EXCLUSIVA DO CHEFE DO PODER EXECUTIVO. POSSIBILIDADE DE EMENDAS DO PODER LEGISLATIVO, DESDE QUE GUARDEM PERTINÊNCIA TEMÁTICA E NÃO IMPLIQUEM AUMENTO DE DESPESA. ART. 4º DA LEI COMPLEMENTAR 118/2007 DO ESTADO DO RIO DE JANEIRO. EMENDA APROVADA PELA ASSEMBLEIA LEGISLATIVA A FIM DE PROIBIR A DEMISSÃO IMOTIVADA DE SERVIDORES CONTRATADOS PELO REGIME CELETISTA. VEDAÇÃO QUE IMPLICA AUMENTO INDIRETO DE DESPESA COM PESSOAL, POIS LIMITA A INICIATIVA DA ADMINISTRAÇÃO DE REDUZIR GASTOS COM O PESSOAL, QUANDO NECESSÁRIO. INCONSTITUCIONALIDADE POR VIOLAÇÃO À SEPARAÇÃO DOS PODERES. PRECEDENTES. 1. A jurisprudência do SUPREMO TRIBUNAL FEDERAL é no sentido de serem de iniciativa exclusiva do Chefe do Poder Executivo leis que disponham sobre a organização e o funcionamento da Administração Pública. Entretanto, o Poder Legislativo tem competência para emendar o projeto de lei, desde que observada a pertinência temática e a vedação de aumento de despesa. 2. Na origem, trata-se de Representação por inconstitucionalidade proposta pelo Procurador-Geral do Estado do Rio de Janeiro em face do artigo 4º da Lei Complementar Estadual 118, de 29/11/2007, que dispõe sobre a atividade de saúde como área de atuação estatal sujeita a desempenho por fundação pública de direito privado nos termos do art. 37, XIX, da Constituição Federal, com a possibilidade de contratação de funcionários públicos celetistas. 3. A Casa Legislativa aprovou emenda ao projeto original para alterar o art. 4º da referida Lei Complementar, de modo a proibir a demissão imotivada dos servidores contratados pelo regime celetista. 4. A norma impugnada no presente RE, ao proibir a demissão imotivada dos servidores da fundação estadual contratados pelo regime celetista, adentrou em matéria de iniciativa exclusiva do Chefe do Poder Executivo local, pois </w:t>
      </w:r>
      <w:r w:rsidRPr="00015089">
        <w:rPr>
          <w:rFonts w:ascii="Courier New" w:hAnsi="Courier New" w:cs="Courier New"/>
        </w:rPr>
        <w:t xml:space="preserve">versa diretamente sobre a organização e o funcionamento da Administração Pública. Precedentes. 5. Em situação idêntica à do presente processo, a Primeira Turma do STF, no RE 1.472.668-Agr, Rel. Min. CRISTIANO ZANIN, </w:t>
      </w:r>
      <w:r w:rsidRPr="00015089">
        <w:rPr>
          <w:rFonts w:ascii="Courier New" w:hAnsi="Courier New" w:cs="Courier New"/>
        </w:rPr>
        <w:t>Dje</w:t>
      </w:r>
      <w:r w:rsidRPr="00015089">
        <w:rPr>
          <w:rFonts w:ascii="Courier New" w:hAnsi="Courier New" w:cs="Courier New"/>
        </w:rPr>
        <w:t xml:space="preserve"> de 20/6/2024, assentou que a matéria atinente à proibição de demissão imotivada dos empregados públicos contratados pelo regime da CLT é estritamente afeta à organização e funcionamento da Administração Pública, portanto, de iniciativa exclusiva do Chefe do Poder Executivo. 6. Referida vedação implica aumento indireto de despesa com pessoal, pois limita a iniciativa da Administração de reduzir os gastos com pessoal, quando necessário. Por esse motivo, não cabe a emenda feita pelo Poder Legislativo. 7. Agravo Interno provido, a fim de negar provimento ao Recurso Extraordinário e manter o acórdão recorrido.</w:t>
      </w:r>
      <w:r>
        <w:rPr>
          <w:rFonts w:ascii="Courier New" w:hAnsi="Courier New" w:cs="Courier New"/>
        </w:rPr>
        <w:t xml:space="preserve"> </w:t>
      </w:r>
      <w:r w:rsidRPr="00015089">
        <w:rPr>
          <w:rFonts w:ascii="Courier New" w:hAnsi="Courier New" w:cs="Courier New"/>
        </w:rPr>
        <w:t xml:space="preserve">(STF - RE: 1500208 RJ, Relator: Min. </w:t>
      </w:r>
      <w:r w:rsidRPr="00015089">
        <w:rPr>
          <w:rFonts w:ascii="Courier New" w:hAnsi="Courier New" w:cs="Courier New"/>
        </w:rPr>
        <w:t>CÁRMEN</w:t>
      </w:r>
      <w:r w:rsidRPr="00015089">
        <w:rPr>
          <w:rFonts w:ascii="Courier New" w:hAnsi="Courier New" w:cs="Courier New"/>
        </w:rPr>
        <w:t xml:space="preserve"> LÚCIA, Data de Julgamento: 06/11/2024, Tribunal Pleno, Data de Publicação: PROCESSO ELETRÔNICO </w:t>
      </w:r>
      <w:r w:rsidRPr="00015089">
        <w:rPr>
          <w:rFonts w:ascii="Courier New" w:hAnsi="Courier New" w:cs="Courier New"/>
        </w:rPr>
        <w:t>DJe</w:t>
      </w:r>
      <w:r w:rsidRPr="00015089">
        <w:rPr>
          <w:rFonts w:ascii="Courier New" w:hAnsi="Courier New" w:cs="Courier New"/>
        </w:rPr>
        <w:t xml:space="preserve">-s/n </w:t>
      </w:r>
      <w:r w:rsidRPr="00015089">
        <w:rPr>
          <w:rFonts w:ascii="Courier New" w:hAnsi="Courier New" w:cs="Courier New"/>
        </w:rPr>
        <w:t>DIVULG</w:t>
      </w:r>
      <w:r w:rsidRPr="00015089">
        <w:rPr>
          <w:rFonts w:ascii="Courier New" w:hAnsi="Courier New" w:cs="Courier New"/>
        </w:rPr>
        <w:t xml:space="preserve"> 19-12-2024 </w:t>
      </w:r>
      <w:r w:rsidRPr="00015089">
        <w:rPr>
          <w:rFonts w:ascii="Courier New" w:hAnsi="Courier New" w:cs="Courier New"/>
        </w:rPr>
        <w:t>PUBLIC</w:t>
      </w:r>
      <w:r w:rsidRPr="00015089">
        <w:rPr>
          <w:rFonts w:ascii="Courier New" w:hAnsi="Courier New" w:cs="Courier New"/>
        </w:rPr>
        <w:t xml:space="preserve"> 07-01-2025)</w:t>
      </w:r>
    </w:p>
    <w:p w:rsidR="00804B71" w:rsidP="00804B71" w14:paraId="66E6373F" w14:textId="77777777">
      <w:pPr>
        <w:spacing w:before="120" w:after="120" w:line="276" w:lineRule="auto"/>
        <w:ind w:firstLine="567"/>
        <w:jc w:val="both"/>
        <w:rPr>
          <w:rFonts w:ascii="Courier New" w:hAnsi="Courier New" w:cs="Courier New"/>
          <w:sz w:val="22"/>
          <w:szCs w:val="22"/>
        </w:rPr>
      </w:pPr>
    </w:p>
    <w:p w:rsidR="00804B71" w:rsidP="00804B71" w14:paraId="3001883C" w14:textId="77777777">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 xml:space="preserve">Na </w:t>
      </w:r>
      <w:r w:rsidRPr="00804B71">
        <w:rPr>
          <w:rFonts w:ascii="Courier New" w:hAnsi="Courier New" w:cs="Courier New"/>
          <w:b/>
          <w:bCs/>
          <w:sz w:val="22"/>
          <w:szCs w:val="22"/>
        </w:rPr>
        <w:t>ADI 6072 RS</w:t>
      </w:r>
      <w:r w:rsidRPr="00804B71">
        <w:rPr>
          <w:rFonts w:ascii="Courier New" w:hAnsi="Courier New" w:cs="Courier New"/>
          <w:sz w:val="22"/>
          <w:szCs w:val="22"/>
        </w:rPr>
        <w:t>, reforça-se que a ausência de aumento de despesa torna a emenda legítima perante o princípio da separação de poderes</w:t>
      </w:r>
      <w:r>
        <w:rPr>
          <w:rFonts w:ascii="Courier New" w:hAnsi="Courier New" w:cs="Courier New"/>
          <w:sz w:val="22"/>
          <w:szCs w:val="22"/>
        </w:rPr>
        <w:t>:</w:t>
      </w:r>
    </w:p>
    <w:p w:rsidR="00804B71" w:rsidP="00804B71" w14:paraId="76D44D56" w14:textId="77777777">
      <w:pPr>
        <w:spacing w:before="120" w:after="120" w:line="276" w:lineRule="auto"/>
        <w:ind w:firstLine="567"/>
        <w:jc w:val="both"/>
        <w:rPr>
          <w:rFonts w:ascii="Courier New" w:hAnsi="Courier New" w:cs="Courier New"/>
          <w:sz w:val="22"/>
          <w:szCs w:val="22"/>
        </w:rPr>
      </w:pPr>
    </w:p>
    <w:p w:rsidR="00804B71" w:rsidRPr="00491493" w:rsidP="00804B71" w14:paraId="6D6F2C3B" w14:textId="04313672">
      <w:pPr>
        <w:pBdr>
          <w:left w:val="single" w:sz="4" w:space="4" w:color="auto"/>
          <w:right w:val="single" w:sz="4" w:space="4" w:color="auto"/>
        </w:pBdr>
        <w:ind w:left="1701"/>
        <w:jc w:val="both"/>
        <w:rPr>
          <w:rFonts w:ascii="Courier New" w:hAnsi="Courier New" w:cs="Courier New"/>
        </w:rPr>
      </w:pPr>
      <w:r w:rsidRPr="00015089">
        <w:rPr>
          <w:rFonts w:ascii="Courier New" w:hAnsi="Courier New" w:cs="Courier New"/>
        </w:rPr>
        <w:t>AÇÃO DIRETA DE INCONSTITUCIONALIDADE. ARTS. 2º, 3º E 4º DA LEI Nº 15.188/2018 DO ESTADO DO RIO GRANDE DO SUL. ALTERAÇÃO DA LEI Nº 13.930/2012 DO ESTADO DO RIO GRANDE DO SUL. QUADRO DE PESSOAL DO INSTITUTO RIO-GRANDENSE DO ARROZ. NORMAS SOBRE PROMOÇÕES E GRATIFICAÇÕES DE SERVIDORES PÚBLICOS DO EXECUTIVO ACRESCIDAS POR EMENDA PARLAMENTAR. INICIATIVA RESERVADA AO CHEFE DO PODER EXECUTIVO LOCAL. AUMENTO DE DESPESA. LIMITES CONSTITUCIONAIS ÀS EMENDAS PARLAMENTARES AOS PROJETOS DE LEI DE INICIATIVA RESERVADA. OFENSA AO ART. 63, I, DA CONSTITUIÇÃO FEDERAL E AO PRINCÍPIO DA SEPARAÇÃO DE PODERES (ART. 2º, CF). JURISPRUDÊNCIA PACÍFICA E DOMINANTE. PRECEDENTES.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Rel. Min. Celso de Mello; ADI 865-MC, Rel. Min. Celso de Mello.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em aumento de despesa e; (</w:t>
      </w:r>
      <w:r w:rsidRPr="00015089">
        <w:rPr>
          <w:rFonts w:ascii="Courier New" w:hAnsi="Courier New" w:cs="Courier New"/>
        </w:rPr>
        <w:t>ii</w:t>
      </w:r>
      <w:r w:rsidRPr="00015089">
        <w:rPr>
          <w:rFonts w:ascii="Courier New" w:hAnsi="Courier New" w:cs="Courier New"/>
        </w:rPr>
        <w:t xml:space="preserve">) mantenham pertinência temática com o objeto do projeto de lei. 3. A emenda parlamentar objeto da presente ação acarretou em inegável aumento de despesa previsto no projeto original encaminhado pelo Governador do Estado do Rio Grande do Sul, violando, portanto, o art. 63, I, da Constituição Federal, dado que instituiu e estendeu gratificações, bem como reduziu o tempo originalmente previsto na lei entre as promoções, </w:t>
      </w:r>
      <w:r w:rsidRPr="00015089">
        <w:rPr>
          <w:rFonts w:ascii="Courier New" w:hAnsi="Courier New" w:cs="Courier New"/>
        </w:rPr>
        <w:t>tornado-as</w:t>
      </w:r>
      <w:r w:rsidRPr="00015089">
        <w:rPr>
          <w:rFonts w:ascii="Courier New" w:hAnsi="Courier New" w:cs="Courier New"/>
        </w:rPr>
        <w:t xml:space="preserve"> mais frequentes. 4. Ação direta de inconstitucionalidade cujo pedido se julga procedente.</w:t>
      </w:r>
      <w:r>
        <w:rPr>
          <w:rFonts w:ascii="Courier New" w:hAnsi="Courier New" w:cs="Courier New"/>
        </w:rPr>
        <w:t xml:space="preserve"> </w:t>
      </w:r>
      <w:r w:rsidRPr="00015089">
        <w:rPr>
          <w:rFonts w:ascii="Courier New" w:hAnsi="Courier New" w:cs="Courier New"/>
        </w:rPr>
        <w:t>(STF - ADI: 6072 RS, Relator: ROBERTO BARROSO, Data de Julgamento: 30/08/2019, Tribunal Pleno, Data de Publicação: 16/09/2019)</w:t>
      </w:r>
    </w:p>
    <w:p w:rsidR="00804B71" w:rsidP="00804B71" w14:paraId="48398DBB" w14:textId="77777777">
      <w:pPr>
        <w:spacing w:before="120" w:after="120" w:line="276" w:lineRule="auto"/>
        <w:ind w:firstLine="567"/>
        <w:jc w:val="both"/>
        <w:rPr>
          <w:rFonts w:ascii="Courier New" w:hAnsi="Courier New" w:cs="Courier New"/>
          <w:sz w:val="22"/>
          <w:szCs w:val="22"/>
        </w:rPr>
      </w:pPr>
    </w:p>
    <w:p w:rsidR="00804B71" w:rsidP="00804B71" w14:paraId="190B0BAB" w14:textId="0C1541ED">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 xml:space="preserve">Adicionalmente, o </w:t>
      </w:r>
      <w:r w:rsidRPr="00804B71">
        <w:rPr>
          <w:rFonts w:ascii="Courier New" w:hAnsi="Courier New" w:cs="Courier New"/>
          <w:b/>
          <w:bCs/>
          <w:sz w:val="22"/>
          <w:szCs w:val="22"/>
        </w:rPr>
        <w:t>TJ-SP</w:t>
      </w:r>
      <w:r w:rsidRPr="00804B71">
        <w:rPr>
          <w:rFonts w:ascii="Courier New" w:hAnsi="Courier New" w:cs="Courier New"/>
          <w:sz w:val="22"/>
          <w:szCs w:val="22"/>
        </w:rPr>
        <w:t xml:space="preserve">, na </w:t>
      </w:r>
      <w:r w:rsidRPr="00804B71">
        <w:rPr>
          <w:rFonts w:ascii="Courier New" w:hAnsi="Courier New" w:cs="Courier New"/>
          <w:b/>
          <w:bCs/>
          <w:sz w:val="22"/>
          <w:szCs w:val="22"/>
        </w:rPr>
        <w:t>Direta de Inconstitucionalidade 21734302220248260000</w:t>
      </w:r>
      <w:r w:rsidRPr="00804B71">
        <w:rPr>
          <w:rFonts w:ascii="Courier New" w:hAnsi="Courier New" w:cs="Courier New"/>
          <w:sz w:val="22"/>
          <w:szCs w:val="22"/>
        </w:rPr>
        <w:t>, destaca que a pertinência temática com o projeto original é o que autoriza a prerrogativa da emenda parlamentar</w:t>
      </w:r>
      <w:r>
        <w:rPr>
          <w:rFonts w:ascii="Courier New" w:hAnsi="Courier New" w:cs="Courier New"/>
          <w:sz w:val="22"/>
          <w:szCs w:val="22"/>
        </w:rPr>
        <w:t>:</w:t>
      </w:r>
    </w:p>
    <w:p w:rsidR="00804B71" w:rsidP="00804B71" w14:paraId="53AE3858" w14:textId="77777777">
      <w:pPr>
        <w:spacing w:before="120" w:after="120" w:line="276" w:lineRule="auto"/>
        <w:ind w:firstLine="567"/>
        <w:jc w:val="both"/>
        <w:rPr>
          <w:rFonts w:ascii="Courier New" w:hAnsi="Courier New" w:cs="Courier New"/>
          <w:sz w:val="22"/>
          <w:szCs w:val="22"/>
        </w:rPr>
      </w:pPr>
    </w:p>
    <w:p w:rsidR="00804B71" w:rsidRPr="00491493" w:rsidP="00804B71" w14:paraId="140EEE9A" w14:textId="7AD18F8C">
      <w:pPr>
        <w:pBdr>
          <w:left w:val="single" w:sz="4" w:space="4" w:color="auto"/>
          <w:right w:val="single" w:sz="4" w:space="4" w:color="auto"/>
        </w:pBdr>
        <w:ind w:left="1701"/>
        <w:jc w:val="both"/>
        <w:rPr>
          <w:rFonts w:ascii="Courier New" w:hAnsi="Courier New" w:cs="Courier New"/>
        </w:rPr>
      </w:pPr>
      <w:r w:rsidRPr="00015089">
        <w:rPr>
          <w:rFonts w:ascii="Courier New" w:hAnsi="Courier New" w:cs="Courier New"/>
        </w:rPr>
        <w:t>Ação direta de inconstitucionalidade – Município de Bauru – Artigo 6º da Lei Municipal n. 7.800, de 24 de maio de 2024, que "autoriza o reajuste geral anual dos vencimentos dos servidores e funcionários públicos municipais, dos aposentados e pensionistas, os estagiários, dos bolsistas e dá outras providências" – Dispositivo impugnado que corresponde à emenda parlamentar que majorou o valor do vale-compra – Derrubado o veto apresentado pela Alcaide – Possibilidade do exercício da prerrogativa da emenda parlamentar, que guarda pertinência temática com o projeto de lei – Emenda que, contudo, representou majoração de despesa – Ofensa aos artigos 24, § 5º, 1 da Constituição do Estado de São Paulo e 63, inciso I da Constituição Federal – Aplicação do Tema 686 do Col. Supremo Tribunal Federal – Ação julgada procedente.</w:t>
      </w:r>
      <w:r>
        <w:rPr>
          <w:rFonts w:ascii="Courier New" w:hAnsi="Courier New" w:cs="Courier New"/>
        </w:rPr>
        <w:t xml:space="preserve"> </w:t>
      </w:r>
      <w:r w:rsidRPr="00015089">
        <w:rPr>
          <w:rFonts w:ascii="Courier New" w:hAnsi="Courier New" w:cs="Courier New"/>
        </w:rPr>
        <w:t>(</w:t>
      </w:r>
      <w:r w:rsidRPr="00015089">
        <w:rPr>
          <w:rFonts w:ascii="Courier New" w:hAnsi="Courier New" w:cs="Courier New"/>
        </w:rPr>
        <w:t>TJ-SP</w:t>
      </w:r>
      <w:r w:rsidRPr="00015089">
        <w:rPr>
          <w:rFonts w:ascii="Courier New" w:hAnsi="Courier New" w:cs="Courier New"/>
        </w:rPr>
        <w:t xml:space="preserve"> - Direta de Inconstitucionalidade: 21734302220248260000 São Paulo, Relator: Marcia Dalla Déa Barone, Data de Julgamento: 18/09/2024, Órgão Especial, Data de Publicação: 19/09/2024)</w:t>
      </w:r>
    </w:p>
    <w:p w:rsidR="00804B71" w:rsidRPr="00804B71" w:rsidP="00804B71" w14:paraId="6EDC340E" w14:textId="77777777">
      <w:pPr>
        <w:spacing w:before="120" w:after="120" w:line="276" w:lineRule="auto"/>
        <w:ind w:firstLine="567"/>
        <w:jc w:val="both"/>
        <w:rPr>
          <w:rFonts w:ascii="Courier New" w:hAnsi="Courier New" w:cs="Courier New"/>
          <w:sz w:val="22"/>
          <w:szCs w:val="22"/>
        </w:rPr>
      </w:pPr>
    </w:p>
    <w:p w:rsidR="00015089" w:rsidP="00804B71" w14:paraId="5804EAB7" w14:textId="6663D27D">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 xml:space="preserve">A doutrina de </w:t>
      </w:r>
      <w:r w:rsidRPr="00804B71">
        <w:rPr>
          <w:rFonts w:ascii="Courier New" w:hAnsi="Courier New" w:cs="Courier New"/>
          <w:b/>
          <w:bCs/>
          <w:sz w:val="22"/>
          <w:szCs w:val="22"/>
        </w:rPr>
        <w:t>Paulo Roberto de Figueiredo Dantas</w:t>
      </w:r>
      <w:r w:rsidRPr="00804B71">
        <w:rPr>
          <w:rFonts w:ascii="Courier New" w:hAnsi="Courier New" w:cs="Courier New"/>
          <w:sz w:val="22"/>
          <w:szCs w:val="22"/>
        </w:rPr>
        <w:t xml:space="preserve"> reforça que a previsão de iniciativa privativa não impede o Legislativo de participar ativamente da edição das leis, desde que não haja aumento de despesas</w:t>
      </w:r>
      <w:r>
        <w:rPr>
          <w:rFonts w:ascii="Courier New" w:hAnsi="Courier New" w:cs="Courier New"/>
          <w:sz w:val="22"/>
          <w:szCs w:val="22"/>
        </w:rPr>
        <w:t xml:space="preserve"> (</w:t>
      </w:r>
      <w:r w:rsidRPr="00015089">
        <w:rPr>
          <w:rFonts w:ascii="Courier New" w:hAnsi="Courier New" w:cs="Courier New"/>
          <w:sz w:val="22"/>
          <w:szCs w:val="22"/>
        </w:rPr>
        <w:t>DANTAS, Paulo. 12. Processo Legislativo In: DANTAS, Paulo. Curso de Direito Constitucional - 8ª Ed - 2025. Editora Foco. 2025</w:t>
      </w:r>
      <w:r>
        <w:rPr>
          <w:rFonts w:ascii="Courier New" w:hAnsi="Courier New" w:cs="Courier New"/>
          <w:sz w:val="22"/>
          <w:szCs w:val="22"/>
        </w:rPr>
        <w:t>).</w:t>
      </w:r>
      <w:r w:rsidRPr="00804B71">
        <w:rPr>
          <w:rFonts w:ascii="Courier New" w:hAnsi="Courier New" w:cs="Courier New"/>
          <w:sz w:val="22"/>
          <w:szCs w:val="22"/>
        </w:rPr>
        <w:t xml:space="preserve"> </w:t>
      </w:r>
      <w:r w:rsidRPr="00804B71">
        <w:rPr>
          <w:rFonts w:ascii="Courier New" w:hAnsi="Courier New" w:cs="Courier New"/>
          <w:b/>
          <w:bCs/>
          <w:sz w:val="22"/>
          <w:szCs w:val="22"/>
        </w:rPr>
        <w:t>Isabel Arruda Quadros da Silva</w:t>
      </w:r>
      <w:r w:rsidRPr="00804B71">
        <w:rPr>
          <w:rFonts w:ascii="Courier New" w:hAnsi="Courier New" w:cs="Courier New"/>
          <w:sz w:val="22"/>
          <w:szCs w:val="22"/>
        </w:rPr>
        <w:t xml:space="preserve"> ressalta que a legislação de iniciativa parlamentar possui uma função político-ideológica essencial para a concretização de direitos sociais</w:t>
      </w:r>
      <w:r>
        <w:rPr>
          <w:rFonts w:ascii="Courier New" w:hAnsi="Courier New" w:cs="Courier New"/>
          <w:sz w:val="22"/>
          <w:szCs w:val="22"/>
        </w:rPr>
        <w:t xml:space="preserve"> (</w:t>
      </w:r>
      <w:r w:rsidRPr="00015089">
        <w:rPr>
          <w:rFonts w:ascii="Courier New" w:hAnsi="Courier New" w:cs="Courier New"/>
          <w:sz w:val="22"/>
          <w:szCs w:val="22"/>
        </w:rPr>
        <w:t xml:space="preserve">SILVA, Isabel. Capítulo IV - A Legislação de Iniciativa Parlamentar In: SILVA, Isabel. A Função Legislativa do Congresso Nacional - 2024. Editora </w:t>
      </w:r>
      <w:r w:rsidRPr="00015089">
        <w:rPr>
          <w:rFonts w:ascii="Courier New" w:hAnsi="Courier New" w:cs="Courier New"/>
          <w:sz w:val="22"/>
          <w:szCs w:val="22"/>
        </w:rPr>
        <w:t>Lumen</w:t>
      </w:r>
      <w:r w:rsidRPr="00015089">
        <w:rPr>
          <w:rFonts w:ascii="Courier New" w:hAnsi="Courier New" w:cs="Courier New"/>
          <w:sz w:val="22"/>
          <w:szCs w:val="22"/>
        </w:rPr>
        <w:t xml:space="preserve"> Juris. 2024</w:t>
      </w:r>
      <w:r>
        <w:rPr>
          <w:rFonts w:ascii="Courier New" w:hAnsi="Courier New" w:cs="Courier New"/>
          <w:sz w:val="22"/>
          <w:szCs w:val="22"/>
        </w:rPr>
        <w:t>).</w:t>
      </w:r>
      <w:r w:rsidRPr="00804B71">
        <w:rPr>
          <w:rFonts w:ascii="Courier New" w:hAnsi="Courier New" w:cs="Courier New"/>
          <w:sz w:val="22"/>
          <w:szCs w:val="22"/>
        </w:rPr>
        <w:t xml:space="preserve"> No campo do controle social, </w:t>
      </w:r>
      <w:r w:rsidRPr="00804B71">
        <w:rPr>
          <w:rFonts w:ascii="Courier New" w:hAnsi="Courier New" w:cs="Courier New"/>
          <w:b/>
          <w:bCs/>
          <w:sz w:val="22"/>
          <w:szCs w:val="22"/>
        </w:rPr>
        <w:t>André Afonso Tavares</w:t>
      </w:r>
      <w:r w:rsidRPr="00804B71">
        <w:rPr>
          <w:rFonts w:ascii="Courier New" w:hAnsi="Courier New" w:cs="Courier New"/>
          <w:sz w:val="22"/>
          <w:szCs w:val="22"/>
        </w:rPr>
        <w:t xml:space="preserve"> ensina que os conselhos de direitos devem ser espaços de mobilização e deliberação da sociedade civil organizada </w:t>
      </w:r>
      <w:r>
        <w:rPr>
          <w:rFonts w:ascii="Courier New" w:hAnsi="Courier New" w:cs="Courier New"/>
          <w:sz w:val="22"/>
          <w:szCs w:val="22"/>
        </w:rPr>
        <w:t>(</w:t>
      </w:r>
      <w:r w:rsidRPr="00015089">
        <w:rPr>
          <w:rFonts w:ascii="Courier New" w:hAnsi="Courier New" w:cs="Courier New"/>
          <w:sz w:val="22"/>
          <w:szCs w:val="22"/>
        </w:rPr>
        <w:t xml:space="preserve">TAVARES, André. 2 Qual o Paradigma Democrático para Um Controle Social de Políticas Públicas? In: TAVARES, André. Governo Digital e Aberto Como Plataforma para o Exercício do Controle Social de Políticas Públicas - 2023. Editora </w:t>
      </w:r>
      <w:r w:rsidRPr="00015089">
        <w:rPr>
          <w:rFonts w:ascii="Courier New" w:hAnsi="Courier New" w:cs="Courier New"/>
          <w:sz w:val="22"/>
          <w:szCs w:val="22"/>
        </w:rPr>
        <w:t>Lumen</w:t>
      </w:r>
      <w:r w:rsidRPr="00015089">
        <w:rPr>
          <w:rFonts w:ascii="Courier New" w:hAnsi="Courier New" w:cs="Courier New"/>
          <w:sz w:val="22"/>
          <w:szCs w:val="22"/>
        </w:rPr>
        <w:t xml:space="preserve"> Juris. 2023</w:t>
      </w:r>
      <w:r>
        <w:rPr>
          <w:rFonts w:ascii="Courier New" w:hAnsi="Courier New" w:cs="Courier New"/>
          <w:sz w:val="22"/>
          <w:szCs w:val="22"/>
        </w:rPr>
        <w:t>).</w:t>
      </w:r>
    </w:p>
    <w:p w:rsidR="00804B71" w:rsidP="00804B71" w14:paraId="62F5DD2B" w14:textId="77777777">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 xml:space="preserve">Os princípios da </w:t>
      </w:r>
      <w:r w:rsidRPr="00804B71">
        <w:rPr>
          <w:rFonts w:ascii="Courier New" w:hAnsi="Courier New" w:cs="Courier New"/>
          <w:b/>
          <w:bCs/>
          <w:sz w:val="22"/>
          <w:szCs w:val="22"/>
        </w:rPr>
        <w:t>Dignidade da Pessoa Humana</w:t>
      </w:r>
      <w:r w:rsidRPr="00804B71">
        <w:rPr>
          <w:rFonts w:ascii="Courier New" w:hAnsi="Courier New" w:cs="Courier New"/>
          <w:sz w:val="22"/>
          <w:szCs w:val="22"/>
        </w:rPr>
        <w:t xml:space="preserve"> (Art. 1º, III, da CF/88) e da </w:t>
      </w:r>
      <w:r w:rsidRPr="00804B71">
        <w:rPr>
          <w:rFonts w:ascii="Courier New" w:hAnsi="Courier New" w:cs="Courier New"/>
          <w:b/>
          <w:bCs/>
          <w:sz w:val="22"/>
          <w:szCs w:val="22"/>
        </w:rPr>
        <w:t>Igualdade</w:t>
      </w:r>
      <w:r w:rsidRPr="00804B71">
        <w:rPr>
          <w:rFonts w:ascii="Courier New" w:hAnsi="Courier New" w:cs="Courier New"/>
          <w:sz w:val="22"/>
          <w:szCs w:val="22"/>
        </w:rPr>
        <w:t xml:space="preserve"> sustentam esta emenda, em total consonância com a </w:t>
      </w:r>
      <w:r w:rsidRPr="00804B71">
        <w:rPr>
          <w:rFonts w:ascii="Courier New" w:hAnsi="Courier New" w:cs="Courier New"/>
          <w:b/>
          <w:bCs/>
          <w:sz w:val="22"/>
          <w:szCs w:val="22"/>
        </w:rPr>
        <w:t>Convenção Internacional sobre os Direitos das Pessoas com Deficiência</w:t>
      </w:r>
      <w:r w:rsidRPr="00804B71">
        <w:rPr>
          <w:rFonts w:ascii="Courier New" w:hAnsi="Courier New" w:cs="Courier New"/>
          <w:sz w:val="22"/>
          <w:szCs w:val="22"/>
        </w:rPr>
        <w:t xml:space="preserve">, que exige a consulta estreita e o envolvimento ativo das pessoas com deficiência em todos os processos de decisão. O letramento da lei nos recorda que a paridade e a representatividade não são apenas números, mas a garantia de que a administração pública ouça a sociedade antes de agir. O brocardo latino </w:t>
      </w:r>
      <w:r w:rsidRPr="00804B71">
        <w:rPr>
          <w:rFonts w:ascii="Courier New" w:hAnsi="Courier New" w:cs="Courier New"/>
          <w:b/>
          <w:bCs/>
          <w:i/>
          <w:iCs/>
          <w:sz w:val="22"/>
          <w:szCs w:val="22"/>
        </w:rPr>
        <w:t>Ubi</w:t>
      </w:r>
      <w:r w:rsidRPr="00804B71">
        <w:rPr>
          <w:rFonts w:ascii="Courier New" w:hAnsi="Courier New" w:cs="Courier New"/>
          <w:b/>
          <w:bCs/>
          <w:i/>
          <w:iCs/>
          <w:sz w:val="22"/>
          <w:szCs w:val="22"/>
        </w:rPr>
        <w:t xml:space="preserve"> societas, </w:t>
      </w:r>
      <w:r w:rsidRPr="00804B71">
        <w:rPr>
          <w:rFonts w:ascii="Courier New" w:hAnsi="Courier New" w:cs="Courier New"/>
          <w:b/>
          <w:bCs/>
          <w:i/>
          <w:iCs/>
          <w:sz w:val="22"/>
          <w:szCs w:val="22"/>
        </w:rPr>
        <w:t>ibi</w:t>
      </w:r>
      <w:r w:rsidRPr="00804B71">
        <w:rPr>
          <w:rFonts w:ascii="Courier New" w:hAnsi="Courier New" w:cs="Courier New"/>
          <w:b/>
          <w:bCs/>
          <w:i/>
          <w:iCs/>
          <w:sz w:val="22"/>
          <w:szCs w:val="22"/>
        </w:rPr>
        <w:t xml:space="preserve"> jus</w:t>
      </w:r>
      <w:r w:rsidRPr="00804B71">
        <w:rPr>
          <w:rFonts w:ascii="Courier New" w:hAnsi="Courier New" w:cs="Courier New"/>
          <w:sz w:val="22"/>
          <w:szCs w:val="22"/>
        </w:rPr>
        <w:t xml:space="preserve"> ("Onde está a sociedade, está o direito") justifica a necessidade de que o direito acompanhe a evolução social e as demandas por inclusão.</w:t>
      </w:r>
    </w:p>
    <w:p w:rsidR="00804B71" w:rsidRPr="00804B71" w:rsidP="00804B71" w14:paraId="2DB6AE8F" w14:textId="3CE97337">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 xml:space="preserve">Por fim, o princípio </w:t>
      </w:r>
      <w:r w:rsidRPr="00804B71">
        <w:rPr>
          <w:rFonts w:ascii="Courier New" w:hAnsi="Courier New" w:cs="Courier New"/>
          <w:b/>
          <w:bCs/>
          <w:i/>
          <w:iCs/>
          <w:sz w:val="22"/>
          <w:szCs w:val="22"/>
        </w:rPr>
        <w:t>Suum</w:t>
      </w:r>
      <w:r w:rsidRPr="00804B71">
        <w:rPr>
          <w:rFonts w:ascii="Courier New" w:hAnsi="Courier New" w:cs="Courier New"/>
          <w:b/>
          <w:bCs/>
          <w:i/>
          <w:iCs/>
          <w:sz w:val="22"/>
          <w:szCs w:val="22"/>
        </w:rPr>
        <w:t xml:space="preserve"> cuique </w:t>
      </w:r>
      <w:r w:rsidRPr="00804B71">
        <w:rPr>
          <w:rFonts w:ascii="Courier New" w:hAnsi="Courier New" w:cs="Courier New"/>
          <w:b/>
          <w:bCs/>
          <w:i/>
          <w:iCs/>
          <w:sz w:val="22"/>
          <w:szCs w:val="22"/>
        </w:rPr>
        <w:t>tribuere</w:t>
      </w:r>
      <w:r w:rsidRPr="00804B71">
        <w:rPr>
          <w:rFonts w:ascii="Courier New" w:hAnsi="Courier New" w:cs="Courier New"/>
          <w:sz w:val="22"/>
          <w:szCs w:val="22"/>
        </w:rPr>
        <w:t xml:space="preserve"> ("Dar a cada um o que é seu") fundamenta a entrega do espaço de fala e decisão àqueles que são os verdadeiros destinatários das políticas públicas aqui discutidas.</w:t>
      </w:r>
    </w:p>
    <w:p w:rsidR="00491493" w:rsidP="00D365E5" w14:paraId="7EB21F3D" w14:textId="7B6F3C32">
      <w:pPr>
        <w:spacing w:before="120" w:after="120" w:line="276" w:lineRule="auto"/>
        <w:ind w:firstLine="567"/>
        <w:jc w:val="both"/>
        <w:rPr>
          <w:rFonts w:ascii="Courier New" w:hAnsi="Courier New" w:cs="Courier New"/>
          <w:sz w:val="22"/>
          <w:szCs w:val="22"/>
        </w:rPr>
      </w:pPr>
      <w:r w:rsidRPr="00804B71">
        <w:rPr>
          <w:rFonts w:ascii="Courier New" w:hAnsi="Courier New" w:cs="Courier New"/>
          <w:sz w:val="22"/>
          <w:szCs w:val="22"/>
        </w:rPr>
        <w:t>Votar por esta emenda é votar pela legitimidade democrática e pelo fortalecimento da cidadania em Mogi Mirim.</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5</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5</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089"/>
    <w:rsid w:val="000155A8"/>
    <w:rsid w:val="00031FEB"/>
    <w:rsid w:val="00037523"/>
    <w:rsid w:val="000401AF"/>
    <w:rsid w:val="00040D21"/>
    <w:rsid w:val="000428DB"/>
    <w:rsid w:val="00056D9C"/>
    <w:rsid w:val="00066D52"/>
    <w:rsid w:val="00076553"/>
    <w:rsid w:val="000B4EDA"/>
    <w:rsid w:val="000B5735"/>
    <w:rsid w:val="000E0B4E"/>
    <w:rsid w:val="000E1F8A"/>
    <w:rsid w:val="000E658D"/>
    <w:rsid w:val="000F672F"/>
    <w:rsid w:val="00105020"/>
    <w:rsid w:val="00106142"/>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D21A6"/>
    <w:rsid w:val="001D4B14"/>
    <w:rsid w:val="001F2270"/>
    <w:rsid w:val="001F7276"/>
    <w:rsid w:val="00200F1C"/>
    <w:rsid w:val="00241452"/>
    <w:rsid w:val="0024425A"/>
    <w:rsid w:val="00245209"/>
    <w:rsid w:val="00257241"/>
    <w:rsid w:val="0027575E"/>
    <w:rsid w:val="002859C6"/>
    <w:rsid w:val="00296637"/>
    <w:rsid w:val="00296EA6"/>
    <w:rsid w:val="002B572E"/>
    <w:rsid w:val="002C14C0"/>
    <w:rsid w:val="002C27CC"/>
    <w:rsid w:val="002C423A"/>
    <w:rsid w:val="002C4498"/>
    <w:rsid w:val="002D25FF"/>
    <w:rsid w:val="002D2C82"/>
    <w:rsid w:val="002D68CE"/>
    <w:rsid w:val="002D704B"/>
    <w:rsid w:val="002F169E"/>
    <w:rsid w:val="002F76C7"/>
    <w:rsid w:val="00307AFD"/>
    <w:rsid w:val="00320D4D"/>
    <w:rsid w:val="003226F4"/>
    <w:rsid w:val="00327030"/>
    <w:rsid w:val="003274BA"/>
    <w:rsid w:val="00332D04"/>
    <w:rsid w:val="00345B10"/>
    <w:rsid w:val="0035352F"/>
    <w:rsid w:val="0035370A"/>
    <w:rsid w:val="00355277"/>
    <w:rsid w:val="00374AF7"/>
    <w:rsid w:val="00377039"/>
    <w:rsid w:val="00386202"/>
    <w:rsid w:val="003A0C73"/>
    <w:rsid w:val="003A27C4"/>
    <w:rsid w:val="003C0749"/>
    <w:rsid w:val="003C0F80"/>
    <w:rsid w:val="003E0416"/>
    <w:rsid w:val="00401038"/>
    <w:rsid w:val="00402140"/>
    <w:rsid w:val="00426E1A"/>
    <w:rsid w:val="00452524"/>
    <w:rsid w:val="004622A3"/>
    <w:rsid w:val="00465074"/>
    <w:rsid w:val="00465614"/>
    <w:rsid w:val="00466795"/>
    <w:rsid w:val="00481B75"/>
    <w:rsid w:val="00491493"/>
    <w:rsid w:val="004C4CD8"/>
    <w:rsid w:val="004C7ED8"/>
    <w:rsid w:val="004D0063"/>
    <w:rsid w:val="004D1A0E"/>
    <w:rsid w:val="004E4ADA"/>
    <w:rsid w:val="004E6D12"/>
    <w:rsid w:val="004F1BCE"/>
    <w:rsid w:val="004F7A40"/>
    <w:rsid w:val="00507EC7"/>
    <w:rsid w:val="00510DC1"/>
    <w:rsid w:val="005112EB"/>
    <w:rsid w:val="0051564A"/>
    <w:rsid w:val="00521BE4"/>
    <w:rsid w:val="00537FEA"/>
    <w:rsid w:val="00564B9E"/>
    <w:rsid w:val="0057381F"/>
    <w:rsid w:val="005831E1"/>
    <w:rsid w:val="0059377F"/>
    <w:rsid w:val="00594E5C"/>
    <w:rsid w:val="005C5121"/>
    <w:rsid w:val="005D014E"/>
    <w:rsid w:val="005D1A64"/>
    <w:rsid w:val="005E33D2"/>
    <w:rsid w:val="005F12A2"/>
    <w:rsid w:val="005F3390"/>
    <w:rsid w:val="005F4015"/>
    <w:rsid w:val="005F4D88"/>
    <w:rsid w:val="005F72BF"/>
    <w:rsid w:val="00605473"/>
    <w:rsid w:val="00612EC2"/>
    <w:rsid w:val="006267C8"/>
    <w:rsid w:val="006319D1"/>
    <w:rsid w:val="00634822"/>
    <w:rsid w:val="00634D61"/>
    <w:rsid w:val="00657DB6"/>
    <w:rsid w:val="0066388F"/>
    <w:rsid w:val="0068334C"/>
    <w:rsid w:val="0068590A"/>
    <w:rsid w:val="006949CD"/>
    <w:rsid w:val="00697A5C"/>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1D"/>
    <w:rsid w:val="00744EB9"/>
    <w:rsid w:val="00744EFF"/>
    <w:rsid w:val="00747418"/>
    <w:rsid w:val="00747F3E"/>
    <w:rsid w:val="00752E8A"/>
    <w:rsid w:val="007571D2"/>
    <w:rsid w:val="007621F4"/>
    <w:rsid w:val="00784ED8"/>
    <w:rsid w:val="007851AB"/>
    <w:rsid w:val="0078781A"/>
    <w:rsid w:val="00792F39"/>
    <w:rsid w:val="007A3234"/>
    <w:rsid w:val="007A702D"/>
    <w:rsid w:val="007C7F52"/>
    <w:rsid w:val="007E3DC3"/>
    <w:rsid w:val="007F5BB3"/>
    <w:rsid w:val="007F648B"/>
    <w:rsid w:val="00804B71"/>
    <w:rsid w:val="008060C7"/>
    <w:rsid w:val="00806639"/>
    <w:rsid w:val="00815F08"/>
    <w:rsid w:val="0082587D"/>
    <w:rsid w:val="00826BB5"/>
    <w:rsid w:val="008356D5"/>
    <w:rsid w:val="0084452E"/>
    <w:rsid w:val="00865897"/>
    <w:rsid w:val="0087229F"/>
    <w:rsid w:val="0088408C"/>
    <w:rsid w:val="008844E4"/>
    <w:rsid w:val="00886A80"/>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774"/>
    <w:rsid w:val="00991752"/>
    <w:rsid w:val="00995807"/>
    <w:rsid w:val="009974FC"/>
    <w:rsid w:val="009A34E3"/>
    <w:rsid w:val="009A3921"/>
    <w:rsid w:val="009B5BE4"/>
    <w:rsid w:val="009B7E1C"/>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1E3A"/>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CF131A"/>
    <w:rsid w:val="00CF7FCD"/>
    <w:rsid w:val="00D01D06"/>
    <w:rsid w:val="00D168E9"/>
    <w:rsid w:val="00D208C4"/>
    <w:rsid w:val="00D30EC1"/>
    <w:rsid w:val="00D329A6"/>
    <w:rsid w:val="00D33B3A"/>
    <w:rsid w:val="00D34085"/>
    <w:rsid w:val="00D365E5"/>
    <w:rsid w:val="00D464E5"/>
    <w:rsid w:val="00D47ECB"/>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E21B7"/>
    <w:rsid w:val="00EE29C1"/>
    <w:rsid w:val="00EF46EB"/>
    <w:rsid w:val="00F41235"/>
    <w:rsid w:val="00F518ED"/>
    <w:rsid w:val="00F554E4"/>
    <w:rsid w:val="00F65A30"/>
    <w:rsid w:val="00F816ED"/>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2EB"/>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5</Pages>
  <Words>1578</Words>
  <Characters>8524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74</cp:revision>
  <cp:lastPrinted>2026-05-15T17:24:22Z</cp:lastPrinted>
  <dcterms:created xsi:type="dcterms:W3CDTF">2026-01-09T01:35:00Z</dcterms:created>
  <dcterms:modified xsi:type="dcterms:W3CDTF">2026-05-15T17:22:00Z</dcterms:modified>
</cp:coreProperties>
</file>