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701315" w:rsidP="00010A9F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701315">
        <w:rPr>
          <w:rFonts w:ascii="Courier New" w:hAnsi="Courier New" w:cs="Courier New"/>
          <w:b/>
          <w:bCs/>
          <w:kern w:val="3"/>
          <w:sz w:val="28"/>
          <w:szCs w:val="28"/>
        </w:rPr>
        <w:t>Emenda Nº 9 ao Projeto de Lei Nº 48/2026</w:t>
      </w:r>
      <w:r w:rsidRPr="00701315">
        <w:rPr>
          <w:rFonts w:ascii="Courier New" w:hAnsi="Courier New" w:cs="Courier New"/>
          <w:b/>
          <w:bCs/>
          <w:kern w:val="3"/>
          <w:sz w:val="28"/>
          <w:szCs w:val="28"/>
        </w:rPr>
        <w:t>Emenda Nº 9 ao Projeto de Lei Nº 48/2026</w:t>
      </w:r>
    </w:p>
    <w:p w:rsidR="00DF1018" w:rsidRPr="00701315" w:rsidP="00010A9F" w14:paraId="7FB2DAC3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01315" w:rsidRPr="00701315" w:rsidP="00010A9F" w14:paraId="3217C555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C93D77" w:rsidRPr="00701315" w:rsidP="00C93D77" w14:paraId="39877184" w14:textId="77777777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  <w:sz w:val="24"/>
          <w:szCs w:val="24"/>
        </w:rPr>
      </w:pPr>
      <w:r w:rsidRPr="00701315">
        <w:rPr>
          <w:rFonts w:ascii="Courier New" w:hAnsi="Courier New" w:cs="Courier New"/>
          <w:i/>
          <w:iCs/>
          <w:kern w:val="3"/>
          <w:sz w:val="24"/>
          <w:szCs w:val="24"/>
        </w:rPr>
        <w:t>(EMENDA MODIFICATIVA AO PROJETO DE LEI Nº 48/2026)</w:t>
      </w:r>
    </w:p>
    <w:p w:rsidR="00C93D77" w:rsidP="00C93D77" w14:paraId="1C1A9C23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C93D77" w:rsidRPr="00701315" w:rsidP="00C93D77" w14:paraId="43E4B39F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>Modifica valores no Anexo VI do Projeto de Lei nº 48 de 2026, que estabelece as Diretrizes Orçamentárias do Município de Mogi Mirim para o exercício de 2026, passando a ter a seguinte redação:</w:t>
      </w:r>
    </w:p>
    <w:p w:rsidR="00C93D77" w:rsidRPr="00701315" w:rsidP="00C93D77" w14:paraId="37CBAA7C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93D77" w:rsidP="00C93D77" w14:paraId="1B583B14" w14:textId="64F846B1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>“</w:t>
      </w:r>
      <w:r w:rsidRPr="00701315">
        <w:rPr>
          <w:rFonts w:ascii="Courier New" w:hAnsi="Courier New" w:cs="Courier New"/>
          <w:b/>
          <w:bCs/>
          <w:sz w:val="24"/>
          <w:szCs w:val="24"/>
        </w:rPr>
        <w:t>Art. 1º</w:t>
      </w:r>
      <w:r w:rsidRPr="00701315">
        <w:rPr>
          <w:rFonts w:ascii="Courier New" w:hAnsi="Courier New" w:cs="Courier New"/>
          <w:sz w:val="24"/>
          <w:szCs w:val="24"/>
        </w:rPr>
        <w:t xml:space="preserve"> No Anexo VI – Unidades Executoras e Ações, ficam alteradas as dotações conforme seguem:</w:t>
      </w:r>
    </w:p>
    <w:p w:rsidR="00C93D77" w:rsidRPr="00701315" w:rsidP="00C93D77" w14:paraId="366041AA" w14:textId="017C65FB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207010</wp:posOffset>
                </wp:positionV>
                <wp:extent cx="12700" cy="3981450"/>
                <wp:effectExtent l="0" t="0" r="25400" b="19050"/>
                <wp:wrapNone/>
                <wp:docPr id="510777650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2700" cy="39814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227.45pt,16.3pt" to="228.45pt,329.8pt" strokecolor="#c00000" strokeweight="1pt">
                <v:stroke joinstyle="miter"/>
              </v:line>
            </w:pict>
          </mc:Fallback>
        </mc:AlternateContent>
      </w:r>
      <w:r>
        <w:rPr>
          <w:rFonts w:ascii="Courier New" w:hAnsi="Courier New" w:cs="Courier New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207010</wp:posOffset>
                </wp:positionV>
                <wp:extent cx="5917565" cy="3981450"/>
                <wp:effectExtent l="0" t="0" r="26035" b="19050"/>
                <wp:wrapNone/>
                <wp:docPr id="139023100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7565" cy="398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width:465.95pt;height:313.5pt;margin-top:16.3pt;margin-left:-7.55pt;mso-height-percent:0;mso-height-relative:margin;mso-wrap-distance-bottom:0;mso-wrap-distance-left:9pt;mso-wrap-distance-right:9pt;mso-wrap-distance-top:0;mso-wrap-style:square;position:absolute;visibility:visible;v-text-anchor:middle;z-index:251659264" filled="f" strokecolor="#c00000" strokeweight="1pt"/>
            </w:pict>
          </mc:Fallback>
        </mc:AlternateContent>
      </w:r>
    </w:p>
    <w:p w:rsidR="00701315" w:rsidRPr="00701315" w:rsidP="00C93D77" w14:paraId="41984ED3" w14:textId="77777777">
      <w:pPr>
        <w:spacing w:before="120" w:after="120" w:line="276" w:lineRule="auto"/>
        <w:jc w:val="both"/>
        <w:rPr>
          <w:rFonts w:ascii="Courier New" w:hAnsi="Courier New" w:cs="Courier New"/>
          <w:b/>
          <w:bCs/>
          <w:sz w:val="24"/>
          <w:szCs w:val="24"/>
        </w:rPr>
        <w:sectPr w:rsidSect="00AE21BC">
          <w:headerReference w:type="default" r:id="rId6"/>
          <w:footerReference w:type="default" r:id="rId7"/>
          <w:pgSz w:w="11906" w:h="16838" w:code="9"/>
          <w:pgMar w:top="1985" w:right="1134" w:bottom="851" w:left="1701" w:header="680" w:footer="284" w:gutter="0"/>
          <w:pgNumType w:start="1"/>
          <w:cols w:space="720"/>
          <w:docGrid w:linePitch="360"/>
        </w:sectPr>
      </w:pPr>
    </w:p>
    <w:p w:rsidR="00C93D77" w:rsidRPr="00701315" w:rsidP="00701315" w14:paraId="06D92CEC" w14:textId="77777777">
      <w:pPr>
        <w:spacing w:before="120" w:after="120" w:line="276" w:lineRule="auto"/>
        <w:ind w:left="284" w:hanging="28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01315">
        <w:rPr>
          <w:rFonts w:ascii="Courier New" w:hAnsi="Courier New" w:cs="Courier New"/>
          <w:b/>
          <w:bCs/>
          <w:sz w:val="24"/>
          <w:szCs w:val="24"/>
        </w:rPr>
        <w:t>ONDE SE LÊ:</w:t>
      </w:r>
    </w:p>
    <w:p w:rsidR="00C93D77" w:rsidRPr="00701315" w:rsidP="00701315" w14:paraId="549CFB60" w14:textId="0CC584BD">
      <w:pPr>
        <w:pStyle w:val="ListParagraph"/>
        <w:numPr>
          <w:ilvl w:val="0"/>
          <w:numId w:val="10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 xml:space="preserve">Função: </w:t>
      </w:r>
      <w:r w:rsidR="0005451B">
        <w:rPr>
          <w:rFonts w:ascii="Courier New" w:hAnsi="Courier New" w:cs="Courier New"/>
          <w:sz w:val="24"/>
          <w:szCs w:val="24"/>
        </w:rPr>
        <w:t>04</w:t>
      </w:r>
      <w:r w:rsidRPr="00701315">
        <w:rPr>
          <w:rFonts w:ascii="Courier New" w:hAnsi="Courier New" w:cs="Courier New"/>
          <w:sz w:val="24"/>
          <w:szCs w:val="24"/>
        </w:rPr>
        <w:t xml:space="preserve"> – </w:t>
      </w:r>
      <w:r w:rsidR="0005451B">
        <w:rPr>
          <w:rFonts w:ascii="Courier New" w:hAnsi="Courier New" w:cs="Courier New"/>
          <w:sz w:val="24"/>
          <w:szCs w:val="24"/>
        </w:rPr>
        <w:t>Administração</w:t>
      </w:r>
    </w:p>
    <w:p w:rsidR="00C93D77" w:rsidRPr="00701315" w:rsidP="00701315" w14:paraId="25648112" w14:textId="42411B69">
      <w:pPr>
        <w:pStyle w:val="ListParagraph"/>
        <w:numPr>
          <w:ilvl w:val="0"/>
          <w:numId w:val="10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 xml:space="preserve">Subfunção: </w:t>
      </w:r>
      <w:r w:rsidR="0005451B">
        <w:rPr>
          <w:rFonts w:ascii="Courier New" w:hAnsi="Courier New" w:cs="Courier New"/>
          <w:sz w:val="24"/>
          <w:szCs w:val="24"/>
        </w:rPr>
        <w:t>126</w:t>
      </w:r>
      <w:r w:rsidRPr="00701315">
        <w:rPr>
          <w:rFonts w:ascii="Courier New" w:hAnsi="Courier New" w:cs="Courier New"/>
          <w:sz w:val="24"/>
          <w:szCs w:val="24"/>
        </w:rPr>
        <w:t xml:space="preserve"> – </w:t>
      </w:r>
      <w:r w:rsidR="0005451B">
        <w:rPr>
          <w:rFonts w:ascii="Courier New" w:hAnsi="Courier New" w:cs="Courier New"/>
          <w:sz w:val="24"/>
          <w:szCs w:val="24"/>
        </w:rPr>
        <w:t>Tecnologia da Informação</w:t>
      </w:r>
    </w:p>
    <w:p w:rsidR="00C93D77" w:rsidRPr="00701315" w:rsidP="00701315" w14:paraId="1BB8584C" w14:textId="6FFBCBA4">
      <w:pPr>
        <w:pStyle w:val="ListParagraph"/>
        <w:numPr>
          <w:ilvl w:val="0"/>
          <w:numId w:val="10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 xml:space="preserve">Programa: </w:t>
      </w:r>
      <w:r w:rsidR="0005451B">
        <w:rPr>
          <w:rFonts w:ascii="Courier New" w:hAnsi="Courier New" w:cs="Courier New"/>
          <w:sz w:val="24"/>
          <w:szCs w:val="24"/>
        </w:rPr>
        <w:t>1010 – Mogi Mirim Inteligente e Resiliente</w:t>
      </w:r>
    </w:p>
    <w:p w:rsidR="00C93D77" w:rsidRPr="00701315" w:rsidP="00701315" w14:paraId="0A201D66" w14:textId="10AF2036">
      <w:pPr>
        <w:pStyle w:val="ListParagraph"/>
        <w:numPr>
          <w:ilvl w:val="0"/>
          <w:numId w:val="10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 xml:space="preserve">Ação: </w:t>
      </w:r>
      <w:r w:rsidR="0005451B">
        <w:rPr>
          <w:rFonts w:ascii="Courier New" w:hAnsi="Courier New" w:cs="Courier New"/>
          <w:sz w:val="24"/>
          <w:szCs w:val="24"/>
        </w:rPr>
        <w:t>100</w:t>
      </w:r>
      <w:r w:rsidR="00AC2F36">
        <w:rPr>
          <w:rFonts w:ascii="Courier New" w:hAnsi="Courier New" w:cs="Courier New"/>
          <w:sz w:val="24"/>
          <w:szCs w:val="24"/>
        </w:rPr>
        <w:t>8</w:t>
      </w:r>
      <w:r w:rsidR="0005451B">
        <w:rPr>
          <w:rFonts w:ascii="Courier New" w:hAnsi="Courier New" w:cs="Courier New"/>
          <w:sz w:val="24"/>
          <w:szCs w:val="24"/>
        </w:rPr>
        <w:t xml:space="preserve"> – </w:t>
      </w:r>
      <w:r w:rsidR="00AC2F36">
        <w:rPr>
          <w:rFonts w:ascii="Courier New" w:hAnsi="Courier New" w:cs="Courier New"/>
          <w:sz w:val="24"/>
          <w:szCs w:val="24"/>
        </w:rPr>
        <w:t>Ampliação do Sistema de Informação Geográfica</w:t>
      </w:r>
    </w:p>
    <w:p w:rsidR="00C93D77" w:rsidRPr="00701315" w:rsidP="00701315" w14:paraId="0D1497F7" w14:textId="11F489E0">
      <w:pPr>
        <w:pStyle w:val="ListParagraph"/>
        <w:numPr>
          <w:ilvl w:val="0"/>
          <w:numId w:val="10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 xml:space="preserve">Produto: </w:t>
      </w:r>
      <w:r w:rsidR="00AC2F36">
        <w:rPr>
          <w:rFonts w:ascii="Courier New" w:hAnsi="Courier New" w:cs="Courier New"/>
          <w:sz w:val="24"/>
          <w:szCs w:val="24"/>
        </w:rPr>
        <w:t xml:space="preserve">Camadas de Dados Disponíveis no </w:t>
      </w:r>
      <w:r w:rsidR="00AC2F36">
        <w:rPr>
          <w:rFonts w:ascii="Courier New" w:hAnsi="Courier New" w:cs="Courier New"/>
          <w:sz w:val="24"/>
          <w:szCs w:val="24"/>
        </w:rPr>
        <w:t>Geoportal</w:t>
      </w:r>
    </w:p>
    <w:p w:rsidR="00C93D77" w:rsidRPr="00701315" w:rsidP="00701315" w14:paraId="6A16A443" w14:textId="2738D702">
      <w:pPr>
        <w:pStyle w:val="ListParagraph"/>
        <w:numPr>
          <w:ilvl w:val="0"/>
          <w:numId w:val="10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 xml:space="preserve">Unidade: </w:t>
      </w:r>
      <w:r w:rsidR="00AC2F36">
        <w:rPr>
          <w:rFonts w:ascii="Courier New" w:hAnsi="Courier New" w:cs="Courier New"/>
          <w:sz w:val="24"/>
          <w:szCs w:val="24"/>
        </w:rPr>
        <w:t>Camadas</w:t>
      </w:r>
    </w:p>
    <w:p w:rsidR="00C93D77" w:rsidP="00701315" w14:paraId="01A88DC3" w14:textId="5408D0C8">
      <w:pPr>
        <w:pStyle w:val="ListParagraph"/>
        <w:numPr>
          <w:ilvl w:val="0"/>
          <w:numId w:val="10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Quant. Total</w:t>
      </w:r>
      <w:r w:rsidRPr="00701315">
        <w:rPr>
          <w:rFonts w:ascii="Courier New" w:hAnsi="Courier New" w:cs="Courier New"/>
          <w:sz w:val="24"/>
          <w:szCs w:val="24"/>
        </w:rPr>
        <w:t xml:space="preserve">: </w:t>
      </w:r>
      <w:r w:rsidR="00AC2F36">
        <w:rPr>
          <w:rFonts w:ascii="Courier New" w:hAnsi="Courier New" w:cs="Courier New"/>
          <w:sz w:val="24"/>
          <w:szCs w:val="24"/>
        </w:rPr>
        <w:t>100</w:t>
      </w:r>
    </w:p>
    <w:p w:rsidR="0005451B" w:rsidP="00701315" w14:paraId="4378E98C" w14:textId="7A5197C8">
      <w:pPr>
        <w:pStyle w:val="ListParagraph"/>
        <w:numPr>
          <w:ilvl w:val="0"/>
          <w:numId w:val="10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Metas: </w:t>
      </w:r>
      <w:r w:rsidR="00AC2F36">
        <w:rPr>
          <w:rFonts w:ascii="Courier New" w:hAnsi="Courier New" w:cs="Courier New"/>
          <w:sz w:val="24"/>
          <w:szCs w:val="24"/>
        </w:rPr>
        <w:t>80</w:t>
      </w:r>
    </w:p>
    <w:p w:rsidR="00C93D77" w:rsidP="0005451B" w14:paraId="3A532923" w14:textId="21530238">
      <w:pPr>
        <w:pStyle w:val="ListParagraph"/>
        <w:numPr>
          <w:ilvl w:val="0"/>
          <w:numId w:val="10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 xml:space="preserve">Valor: R$ </w:t>
      </w:r>
      <w:r w:rsidR="00AC2F36">
        <w:rPr>
          <w:rFonts w:ascii="Courier New" w:hAnsi="Courier New" w:cs="Courier New"/>
          <w:sz w:val="24"/>
          <w:szCs w:val="24"/>
        </w:rPr>
        <w:t>500</w:t>
      </w:r>
      <w:r w:rsidR="0005451B">
        <w:rPr>
          <w:rFonts w:ascii="Courier New" w:hAnsi="Courier New" w:cs="Courier New"/>
          <w:sz w:val="24"/>
          <w:szCs w:val="24"/>
        </w:rPr>
        <w:t>.000,00</w:t>
      </w:r>
    </w:p>
    <w:p w:rsidR="00C93D77" w:rsidRPr="00701315" w:rsidP="0005451B" w14:paraId="681FCA5B" w14:textId="77777777">
      <w:pPr>
        <w:spacing w:before="120" w:after="120" w:line="276" w:lineRule="auto"/>
        <w:ind w:left="284" w:hanging="28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01315">
        <w:rPr>
          <w:rFonts w:ascii="Courier New" w:hAnsi="Courier New" w:cs="Courier New"/>
          <w:b/>
          <w:bCs/>
          <w:sz w:val="24"/>
          <w:szCs w:val="24"/>
        </w:rPr>
        <w:t>LEIA-SE:</w:t>
      </w:r>
    </w:p>
    <w:p w:rsidR="00AC2F36" w:rsidRPr="00AC2F36" w:rsidP="00AC2F36" w14:paraId="2B8935E9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AC2F36">
        <w:rPr>
          <w:rFonts w:ascii="Courier New" w:hAnsi="Courier New" w:cs="Courier New"/>
          <w:sz w:val="24"/>
          <w:szCs w:val="24"/>
        </w:rPr>
        <w:t>Função: 04 – Administração</w:t>
      </w:r>
    </w:p>
    <w:p w:rsidR="00AC2F36" w:rsidRPr="00AC2F36" w:rsidP="00AC2F36" w14:paraId="49E5EFAE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AC2F36">
        <w:rPr>
          <w:rFonts w:ascii="Courier New" w:hAnsi="Courier New" w:cs="Courier New"/>
          <w:sz w:val="24"/>
          <w:szCs w:val="24"/>
        </w:rPr>
        <w:t>Subfunção: 126 – Tecnologia da Informação</w:t>
      </w:r>
    </w:p>
    <w:p w:rsidR="00AC2F36" w:rsidRPr="00AC2F36" w:rsidP="00AC2F36" w14:paraId="1528BD5B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AC2F36">
        <w:rPr>
          <w:rFonts w:ascii="Courier New" w:hAnsi="Courier New" w:cs="Courier New"/>
          <w:sz w:val="24"/>
          <w:szCs w:val="24"/>
        </w:rPr>
        <w:t>Programa: 1010 – Mogi Mirim Inteligente e Resiliente</w:t>
      </w:r>
    </w:p>
    <w:p w:rsidR="00AC2F36" w:rsidRPr="00AC2F36" w:rsidP="00AC2F36" w14:paraId="56F5090D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AC2F36">
        <w:rPr>
          <w:rFonts w:ascii="Courier New" w:hAnsi="Courier New" w:cs="Courier New"/>
          <w:sz w:val="24"/>
          <w:szCs w:val="24"/>
        </w:rPr>
        <w:t>Ação: 1008 – Ampliação do Sistema de Informação Geográfica</w:t>
      </w:r>
    </w:p>
    <w:p w:rsidR="00AC2F36" w:rsidRPr="00AC2F36" w:rsidP="00AC2F36" w14:paraId="11690C05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AC2F36">
        <w:rPr>
          <w:rFonts w:ascii="Courier New" w:hAnsi="Courier New" w:cs="Courier New"/>
          <w:sz w:val="24"/>
          <w:szCs w:val="24"/>
        </w:rPr>
        <w:t xml:space="preserve">Produto: Camadas de Dados Disponíveis no </w:t>
      </w:r>
      <w:r w:rsidRPr="00AC2F36">
        <w:rPr>
          <w:rFonts w:ascii="Courier New" w:hAnsi="Courier New" w:cs="Courier New"/>
          <w:sz w:val="24"/>
          <w:szCs w:val="24"/>
        </w:rPr>
        <w:t>Geoportal</w:t>
      </w:r>
    </w:p>
    <w:p w:rsidR="00AC2F36" w:rsidRPr="00AC2F36" w:rsidP="00AC2F36" w14:paraId="05FEDC8F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AC2F36">
        <w:rPr>
          <w:rFonts w:ascii="Courier New" w:hAnsi="Courier New" w:cs="Courier New"/>
          <w:sz w:val="24"/>
          <w:szCs w:val="24"/>
        </w:rPr>
        <w:t>Unidade: Camadas</w:t>
      </w:r>
    </w:p>
    <w:p w:rsidR="00AC2F36" w:rsidRPr="00AC2F36" w:rsidP="00AC2F36" w14:paraId="1D600B08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AC2F36">
        <w:rPr>
          <w:rFonts w:ascii="Courier New" w:hAnsi="Courier New" w:cs="Courier New"/>
          <w:sz w:val="24"/>
          <w:szCs w:val="24"/>
        </w:rPr>
        <w:t>Quant. Total: 100</w:t>
      </w:r>
    </w:p>
    <w:p w:rsidR="00AC2F36" w:rsidRPr="00AC2F36" w:rsidP="00AC2F36" w14:paraId="0893E469" w14:textId="77777777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AC2F36">
        <w:rPr>
          <w:rFonts w:ascii="Courier New" w:hAnsi="Courier New" w:cs="Courier New"/>
          <w:sz w:val="24"/>
          <w:szCs w:val="24"/>
        </w:rPr>
        <w:t>Metas: 80</w:t>
      </w:r>
    </w:p>
    <w:p w:rsidR="00AC2F36" w:rsidRPr="00AC2F36" w:rsidP="00AC2F36" w14:paraId="2CAE53F5" w14:textId="12A2D5D8">
      <w:pPr>
        <w:pStyle w:val="ListParagraph"/>
        <w:numPr>
          <w:ilvl w:val="0"/>
          <w:numId w:val="11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AC2F36">
        <w:rPr>
          <w:rFonts w:ascii="Courier New" w:hAnsi="Courier New" w:cs="Courier New"/>
          <w:sz w:val="24"/>
          <w:szCs w:val="24"/>
        </w:rPr>
        <w:t xml:space="preserve">Valor: R$ </w:t>
      </w:r>
      <w:r>
        <w:rPr>
          <w:rFonts w:ascii="Courier New" w:hAnsi="Courier New" w:cs="Courier New"/>
          <w:sz w:val="24"/>
          <w:szCs w:val="24"/>
        </w:rPr>
        <w:t>2</w:t>
      </w:r>
      <w:r w:rsidRPr="00AC2F36">
        <w:rPr>
          <w:rFonts w:ascii="Courier New" w:hAnsi="Courier New" w:cs="Courier New"/>
          <w:sz w:val="24"/>
          <w:szCs w:val="24"/>
        </w:rPr>
        <w:t>00.000,00</w:t>
      </w:r>
    </w:p>
    <w:p w:rsidR="00701315" w:rsidRPr="00701315" w:rsidP="00701315" w14:paraId="0B14D41D" w14:textId="77777777">
      <w:pPr>
        <w:spacing w:before="120" w:after="120" w:line="276" w:lineRule="auto"/>
        <w:ind w:left="284" w:hanging="284"/>
        <w:jc w:val="both"/>
        <w:rPr>
          <w:rFonts w:ascii="Courier New" w:hAnsi="Courier New" w:cs="Courier New"/>
          <w:sz w:val="24"/>
          <w:szCs w:val="24"/>
        </w:rPr>
        <w:sectPr w:rsidSect="00701315">
          <w:type w:val="continuous"/>
          <w:pgSz w:w="11906" w:h="16838" w:code="9"/>
          <w:pgMar w:top="1985" w:right="1134" w:bottom="851" w:left="1701" w:header="680" w:footer="284" w:gutter="0"/>
          <w:pgNumType w:start="1"/>
          <w:cols w:num="2" w:space="565"/>
          <w:docGrid w:linePitch="360"/>
        </w:sectPr>
      </w:pPr>
    </w:p>
    <w:p w:rsidR="00701315" w:rsidP="00701315" w14:paraId="6D78FA6F" w14:textId="77777777">
      <w:pPr>
        <w:spacing w:before="120" w:after="120" w:line="276" w:lineRule="auto"/>
        <w:ind w:left="284" w:hanging="284"/>
        <w:jc w:val="both"/>
        <w:rPr>
          <w:rFonts w:ascii="Courier New" w:hAnsi="Courier New" w:cs="Courier New"/>
          <w:sz w:val="24"/>
          <w:szCs w:val="24"/>
        </w:rPr>
      </w:pPr>
    </w:p>
    <w:p w:rsidR="0005451B" w:rsidP="00701315" w14:paraId="47755385" w14:textId="77777777">
      <w:pPr>
        <w:spacing w:before="120" w:after="120" w:line="276" w:lineRule="auto"/>
        <w:ind w:left="284" w:hanging="284"/>
        <w:jc w:val="both"/>
        <w:rPr>
          <w:rFonts w:ascii="Courier New" w:hAnsi="Courier New" w:cs="Courier New"/>
          <w:sz w:val="24"/>
          <w:szCs w:val="24"/>
        </w:rPr>
      </w:pPr>
    </w:p>
    <w:p w:rsidR="0005451B" w:rsidP="00701315" w14:paraId="7C5DE8B0" w14:textId="77777777">
      <w:pPr>
        <w:spacing w:before="120" w:after="120" w:line="276" w:lineRule="auto"/>
        <w:ind w:left="284" w:hanging="284"/>
        <w:jc w:val="both"/>
        <w:rPr>
          <w:rFonts w:ascii="Courier New" w:hAnsi="Courier New" w:cs="Courier New"/>
          <w:sz w:val="24"/>
          <w:szCs w:val="24"/>
        </w:rPr>
      </w:pPr>
    </w:p>
    <w:p w:rsidR="00701315" w:rsidP="00701315" w14:paraId="24515E72" w14:textId="77777777">
      <w:pPr>
        <w:spacing w:before="120" w:after="120" w:line="276" w:lineRule="auto"/>
        <w:ind w:left="284" w:hanging="284"/>
        <w:jc w:val="both"/>
        <w:rPr>
          <w:rFonts w:ascii="Courier New" w:hAnsi="Courier New" w:cs="Courier New"/>
          <w:sz w:val="24"/>
          <w:szCs w:val="24"/>
        </w:rPr>
      </w:pPr>
    </w:p>
    <w:p w:rsidR="00701315" w:rsidRPr="00701315" w:rsidP="00701315" w14:paraId="3329378C" w14:textId="77777777">
      <w:pPr>
        <w:spacing w:before="120" w:after="120" w:line="276" w:lineRule="auto"/>
        <w:ind w:left="284" w:hanging="284"/>
        <w:jc w:val="both"/>
        <w:rPr>
          <w:rFonts w:ascii="Courier New" w:hAnsi="Courier New" w:cs="Courier New"/>
          <w:sz w:val="24"/>
          <w:szCs w:val="24"/>
        </w:rPr>
      </w:pPr>
    </w:p>
    <w:p w:rsidR="00701315" w:rsidRPr="00701315" w:rsidP="00701315" w14:paraId="2D727D03" w14:textId="77777777">
      <w:pPr>
        <w:spacing w:before="120" w:after="120" w:line="276" w:lineRule="auto"/>
        <w:ind w:left="284" w:hanging="284"/>
        <w:jc w:val="both"/>
        <w:rPr>
          <w:rFonts w:ascii="Courier New" w:hAnsi="Courier New" w:cs="Courier New"/>
          <w:b/>
          <w:bCs/>
          <w:sz w:val="24"/>
          <w:szCs w:val="24"/>
        </w:rPr>
        <w:sectPr w:rsidSect="00701315">
          <w:type w:val="continuous"/>
          <w:pgSz w:w="11906" w:h="16838" w:code="9"/>
          <w:pgMar w:top="1985" w:right="1134" w:bottom="851" w:left="1701" w:header="680" w:footer="284" w:gutter="0"/>
          <w:pgNumType w:start="1"/>
          <w:cols w:space="155"/>
          <w:docGrid w:linePitch="360"/>
        </w:sectPr>
      </w:pPr>
    </w:p>
    <w:p w:rsidR="00C93D77" w:rsidRPr="00701315" w:rsidP="00701315" w14:paraId="4F82EAD8" w14:textId="4422F0ED">
      <w:pPr>
        <w:spacing w:before="120" w:after="120" w:line="276" w:lineRule="auto"/>
        <w:ind w:left="284" w:hanging="284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2875915</wp:posOffset>
                </wp:positionH>
                <wp:positionV relativeFrom="paragraph">
                  <wp:posOffset>-41275</wp:posOffset>
                </wp:positionV>
                <wp:extent cx="6350" cy="4546600"/>
                <wp:effectExtent l="0" t="0" r="31750" b="25400"/>
                <wp:wrapNone/>
                <wp:docPr id="112738677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50" cy="45466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7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5408" from="226.45pt,-3.25pt" to="226.95pt,354.75pt" strokecolor="#c00000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Courier New" w:hAnsi="Courier New" w:cs="Courier New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-41275</wp:posOffset>
                </wp:positionV>
                <wp:extent cx="5917565" cy="4552950"/>
                <wp:effectExtent l="0" t="0" r="26035" b="19050"/>
                <wp:wrapNone/>
                <wp:docPr id="12137112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17565" cy="4552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8" style="width:465.95pt;height:358.5pt;margin-top:-3.25pt;margin-left:-5.55pt;mso-height-percent:0;mso-height-relative:margin;mso-wrap-distance-bottom:0;mso-wrap-distance-left:9pt;mso-wrap-distance-right:9pt;mso-wrap-distance-top:0;mso-wrap-style:square;position:absolute;visibility:visible;v-text-anchor:middle;z-index:251661312" filled="f" strokecolor="#c00000" strokeweight="1pt"/>
            </w:pict>
          </mc:Fallback>
        </mc:AlternateContent>
      </w:r>
      <w:r w:rsidRPr="00701315">
        <w:rPr>
          <w:rFonts w:ascii="Courier New" w:hAnsi="Courier New" w:cs="Courier New"/>
          <w:b/>
          <w:bCs/>
          <w:sz w:val="24"/>
          <w:szCs w:val="24"/>
        </w:rPr>
        <w:t>ONDE SE LÊ:</w:t>
      </w:r>
    </w:p>
    <w:p w:rsidR="00C93D77" w:rsidRPr="00701315" w:rsidP="00701315" w14:paraId="6C783DAD" w14:textId="7C92FFAB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 xml:space="preserve">Função: </w:t>
      </w:r>
      <w:r w:rsidR="0005451B">
        <w:rPr>
          <w:rFonts w:ascii="Courier New" w:hAnsi="Courier New" w:cs="Courier New"/>
          <w:sz w:val="24"/>
          <w:szCs w:val="24"/>
        </w:rPr>
        <w:t>08 – Assistência Social</w:t>
      </w:r>
    </w:p>
    <w:p w:rsidR="00C93D77" w:rsidRPr="00701315" w:rsidP="00701315" w14:paraId="5BE3148D" w14:textId="24055027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 xml:space="preserve">Subfunção: </w:t>
      </w:r>
      <w:r w:rsidR="0005451B">
        <w:rPr>
          <w:rFonts w:ascii="Courier New" w:hAnsi="Courier New" w:cs="Courier New"/>
          <w:sz w:val="24"/>
          <w:szCs w:val="24"/>
        </w:rPr>
        <w:t>245 – Serviços Socioassistenciais</w:t>
      </w:r>
    </w:p>
    <w:p w:rsidR="00C93D77" w:rsidRPr="00701315" w:rsidP="00701315" w14:paraId="3198450F" w14:textId="650DF424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 xml:space="preserve">Programa: 1014 – </w:t>
      </w:r>
      <w:r w:rsidR="0005451B">
        <w:rPr>
          <w:rFonts w:ascii="Courier New" w:hAnsi="Courier New" w:cs="Courier New"/>
          <w:sz w:val="24"/>
          <w:szCs w:val="24"/>
        </w:rPr>
        <w:t>Mogi Mirim Inclusiva</w:t>
      </w:r>
    </w:p>
    <w:p w:rsidR="00C93D77" w:rsidRPr="00701315" w:rsidP="00701315" w14:paraId="399E1024" w14:textId="004EB58D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 xml:space="preserve">Ação: </w:t>
      </w:r>
      <w:r w:rsidR="0005451B">
        <w:rPr>
          <w:rFonts w:ascii="Courier New" w:hAnsi="Courier New" w:cs="Courier New"/>
          <w:sz w:val="24"/>
          <w:szCs w:val="24"/>
        </w:rPr>
        <w:t>2087</w:t>
      </w:r>
      <w:r w:rsidRPr="00701315">
        <w:rPr>
          <w:rFonts w:ascii="Courier New" w:hAnsi="Courier New" w:cs="Courier New"/>
          <w:sz w:val="24"/>
          <w:szCs w:val="24"/>
        </w:rPr>
        <w:t xml:space="preserve"> – </w:t>
      </w:r>
      <w:r w:rsidR="0005451B">
        <w:rPr>
          <w:rFonts w:ascii="Courier New" w:hAnsi="Courier New" w:cs="Courier New"/>
          <w:sz w:val="24"/>
          <w:szCs w:val="24"/>
        </w:rPr>
        <w:t>Atividades de Proteção Social Básica</w:t>
      </w:r>
    </w:p>
    <w:p w:rsidR="00C93D77" w:rsidRPr="00701315" w:rsidP="00701315" w14:paraId="7FDDF7B0" w14:textId="2CDD1CB6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 xml:space="preserve">Produto: </w:t>
      </w:r>
      <w:r w:rsidR="0005451B">
        <w:rPr>
          <w:rFonts w:ascii="Courier New" w:hAnsi="Courier New" w:cs="Courier New"/>
          <w:sz w:val="24"/>
          <w:szCs w:val="24"/>
        </w:rPr>
        <w:t>Número de Famílias Atendidas na Proteção Social Básica</w:t>
      </w:r>
    </w:p>
    <w:p w:rsidR="00C93D77" w:rsidP="00701315" w14:paraId="01740723" w14:textId="4DC47792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 xml:space="preserve">Unidade: </w:t>
      </w:r>
      <w:r w:rsidR="0005451B">
        <w:rPr>
          <w:rFonts w:ascii="Courier New" w:hAnsi="Courier New" w:cs="Courier New"/>
          <w:sz w:val="24"/>
          <w:szCs w:val="24"/>
        </w:rPr>
        <w:t>Família/Ano</w:t>
      </w:r>
    </w:p>
    <w:p w:rsidR="0005451B" w:rsidRPr="00701315" w:rsidP="00701315" w14:paraId="4C48EBA5" w14:textId="2C966E10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Quant. Total: 1.450</w:t>
      </w:r>
    </w:p>
    <w:p w:rsidR="00C93D77" w:rsidRPr="00701315" w:rsidP="00701315" w14:paraId="5B428847" w14:textId="0A25BC9F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>Meta: 1</w:t>
      </w:r>
      <w:r w:rsidR="0005451B">
        <w:rPr>
          <w:rFonts w:ascii="Courier New" w:hAnsi="Courier New" w:cs="Courier New"/>
          <w:sz w:val="24"/>
          <w:szCs w:val="24"/>
        </w:rPr>
        <w:t>.250</w:t>
      </w:r>
    </w:p>
    <w:p w:rsidR="00701315" w:rsidRPr="0005451B" w:rsidP="00701315" w14:paraId="420E8366" w14:textId="32AAEA78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5451B">
        <w:rPr>
          <w:rFonts w:ascii="Courier New" w:hAnsi="Courier New" w:cs="Courier New"/>
          <w:sz w:val="24"/>
          <w:szCs w:val="24"/>
        </w:rPr>
        <w:t xml:space="preserve">Valor: R$ </w:t>
      </w:r>
      <w:r w:rsidRPr="0005451B" w:rsidR="0005451B">
        <w:rPr>
          <w:rFonts w:ascii="Courier New" w:hAnsi="Courier New" w:cs="Courier New"/>
          <w:sz w:val="24"/>
          <w:szCs w:val="24"/>
        </w:rPr>
        <w:t>3.617.000,00</w:t>
      </w:r>
    </w:p>
    <w:p w:rsidR="00701315" w:rsidRPr="00701315" w:rsidP="00701315" w14:paraId="740AC6CA" w14:textId="77777777">
      <w:pPr>
        <w:spacing w:before="120" w:after="120" w:line="276" w:lineRule="auto"/>
        <w:ind w:left="284" w:hanging="284"/>
        <w:jc w:val="both"/>
        <w:rPr>
          <w:rFonts w:ascii="Courier New" w:hAnsi="Courier New" w:cs="Courier New"/>
          <w:sz w:val="24"/>
          <w:szCs w:val="24"/>
        </w:rPr>
      </w:pPr>
    </w:p>
    <w:p w:rsidR="00C93D77" w:rsidRPr="00701315" w:rsidP="00701315" w14:paraId="75811FC7" w14:textId="236E52B7">
      <w:pPr>
        <w:spacing w:before="120" w:after="120" w:line="276" w:lineRule="auto"/>
        <w:ind w:left="284" w:hanging="284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01315">
        <w:rPr>
          <w:rFonts w:ascii="Courier New" w:hAnsi="Courier New" w:cs="Courier New"/>
          <w:b/>
          <w:bCs/>
          <w:sz w:val="24"/>
          <w:szCs w:val="24"/>
        </w:rPr>
        <w:t>LEIA-SE:</w:t>
      </w:r>
    </w:p>
    <w:p w:rsidR="0005451B" w:rsidRPr="00701315" w:rsidP="0005451B" w14:paraId="3115A083" w14:textId="77777777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 xml:space="preserve">Função: </w:t>
      </w:r>
      <w:r>
        <w:rPr>
          <w:rFonts w:ascii="Courier New" w:hAnsi="Courier New" w:cs="Courier New"/>
          <w:sz w:val="24"/>
          <w:szCs w:val="24"/>
        </w:rPr>
        <w:t>08 – Assistência Social</w:t>
      </w:r>
    </w:p>
    <w:p w:rsidR="0005451B" w:rsidRPr="00701315" w:rsidP="0005451B" w14:paraId="5A5E5970" w14:textId="77777777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 xml:space="preserve">Subfunção: </w:t>
      </w:r>
      <w:r>
        <w:rPr>
          <w:rFonts w:ascii="Courier New" w:hAnsi="Courier New" w:cs="Courier New"/>
          <w:sz w:val="24"/>
          <w:szCs w:val="24"/>
        </w:rPr>
        <w:t>245 – Serviços Socioassistenciais</w:t>
      </w:r>
    </w:p>
    <w:p w:rsidR="00C93D77" w:rsidRPr="00701315" w:rsidP="00701315" w14:paraId="4F9DE06C" w14:textId="04215C32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 xml:space="preserve">Programa: 1014 </w:t>
      </w:r>
      <w:r w:rsidRPr="00701315" w:rsidR="0005451B">
        <w:rPr>
          <w:rFonts w:ascii="Courier New" w:hAnsi="Courier New" w:cs="Courier New"/>
          <w:sz w:val="24"/>
          <w:szCs w:val="24"/>
        </w:rPr>
        <w:t xml:space="preserve">– </w:t>
      </w:r>
      <w:r w:rsidR="0005451B">
        <w:rPr>
          <w:rFonts w:ascii="Courier New" w:hAnsi="Courier New" w:cs="Courier New"/>
          <w:sz w:val="24"/>
          <w:szCs w:val="24"/>
        </w:rPr>
        <w:t>Mogi Mirim Inclusiva</w:t>
      </w:r>
    </w:p>
    <w:p w:rsidR="0005451B" w:rsidRPr="00701315" w:rsidP="0005451B" w14:paraId="2B67675F" w14:textId="77777777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 xml:space="preserve">Ação: </w:t>
      </w:r>
      <w:r>
        <w:rPr>
          <w:rFonts w:ascii="Courier New" w:hAnsi="Courier New" w:cs="Courier New"/>
          <w:sz w:val="24"/>
          <w:szCs w:val="24"/>
        </w:rPr>
        <w:t>2087</w:t>
      </w:r>
      <w:r w:rsidRPr="00701315">
        <w:rPr>
          <w:rFonts w:ascii="Courier New" w:hAnsi="Courier New" w:cs="Courier New"/>
          <w:sz w:val="24"/>
          <w:szCs w:val="24"/>
        </w:rPr>
        <w:t xml:space="preserve"> – </w:t>
      </w:r>
      <w:r>
        <w:rPr>
          <w:rFonts w:ascii="Courier New" w:hAnsi="Courier New" w:cs="Courier New"/>
          <w:sz w:val="24"/>
          <w:szCs w:val="24"/>
        </w:rPr>
        <w:t>Atividades de Proteção Social Básica</w:t>
      </w:r>
    </w:p>
    <w:p w:rsidR="0005451B" w:rsidRPr="00701315" w:rsidP="0005451B" w14:paraId="128A5473" w14:textId="0431C7DF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 xml:space="preserve">Produto: </w:t>
      </w:r>
      <w:r>
        <w:rPr>
          <w:rFonts w:ascii="Courier New" w:hAnsi="Courier New" w:cs="Courier New"/>
          <w:sz w:val="24"/>
          <w:szCs w:val="24"/>
        </w:rPr>
        <w:t>Número de Famílias Atendidas na Proteção Social Básica/</w:t>
      </w:r>
      <w:r w:rsidR="008B64C1">
        <w:rPr>
          <w:rFonts w:ascii="Courier New" w:hAnsi="Courier New" w:cs="Courier New"/>
          <w:sz w:val="24"/>
          <w:szCs w:val="24"/>
        </w:rPr>
        <w:t>Construção da Casa Abrigo da Mulher e Parceria com Outros Municípios</w:t>
      </w:r>
    </w:p>
    <w:p w:rsidR="0005451B" w:rsidRPr="00701315" w:rsidP="0005451B" w14:paraId="76B4EB50" w14:textId="77777777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 xml:space="preserve">Unidade: </w:t>
      </w:r>
      <w:r>
        <w:rPr>
          <w:rFonts w:ascii="Courier New" w:hAnsi="Courier New" w:cs="Courier New"/>
          <w:sz w:val="24"/>
          <w:szCs w:val="24"/>
        </w:rPr>
        <w:t>Família/Ano</w:t>
      </w:r>
    </w:p>
    <w:p w:rsidR="0005451B" w:rsidRPr="00701315" w:rsidP="0005451B" w14:paraId="7FA9C93A" w14:textId="77777777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Quant. Total: 1.450</w:t>
      </w:r>
    </w:p>
    <w:p w:rsidR="0005451B" w:rsidRPr="00701315" w:rsidP="0005451B" w14:paraId="2F99AD48" w14:textId="77777777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sz w:val="24"/>
          <w:szCs w:val="24"/>
        </w:rPr>
        <w:t>Meta: 1</w:t>
      </w:r>
      <w:r>
        <w:rPr>
          <w:rFonts w:ascii="Courier New" w:hAnsi="Courier New" w:cs="Courier New"/>
          <w:sz w:val="24"/>
          <w:szCs w:val="24"/>
        </w:rPr>
        <w:t>.250</w:t>
      </w:r>
    </w:p>
    <w:p w:rsidR="00701315" w:rsidRPr="008B64C1" w:rsidP="00010A9F" w14:paraId="1C32969D" w14:textId="2F8E9CAE">
      <w:pPr>
        <w:pStyle w:val="ListParagraph"/>
        <w:numPr>
          <w:ilvl w:val="0"/>
          <w:numId w:val="12"/>
        </w:numPr>
        <w:spacing w:before="120" w:after="120" w:line="276" w:lineRule="auto"/>
        <w:ind w:left="284" w:hanging="284"/>
        <w:contextualSpacing w:val="0"/>
        <w:jc w:val="both"/>
        <w:rPr>
          <w:rFonts w:ascii="Courier New" w:hAnsi="Courier New" w:cs="Courier New"/>
          <w:sz w:val="24"/>
          <w:szCs w:val="24"/>
        </w:rPr>
        <w:sectPr w:rsidSect="00701315">
          <w:type w:val="continuous"/>
          <w:pgSz w:w="11906" w:h="16838" w:code="9"/>
          <w:pgMar w:top="1985" w:right="1134" w:bottom="851" w:left="1701" w:header="680" w:footer="284" w:gutter="0"/>
          <w:pgNumType w:start="1"/>
          <w:cols w:num="2" w:space="565"/>
          <w:docGrid w:linePitch="360"/>
        </w:sectPr>
      </w:pPr>
      <w:r w:rsidRPr="008B64C1">
        <w:rPr>
          <w:rFonts w:ascii="Courier New" w:hAnsi="Courier New" w:cs="Courier New"/>
          <w:sz w:val="24"/>
          <w:szCs w:val="24"/>
        </w:rPr>
        <w:t>Valor: R$ 3.917.000,00</w:t>
      </w:r>
    </w:p>
    <w:p w:rsidR="00891B93" w:rsidRPr="00701315" w:rsidP="00010A9F" w14:paraId="54C3488E" w14:textId="77777777">
      <w:pPr>
        <w:spacing w:before="120" w:after="120"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465074" w:rsidRPr="00701315" w:rsidP="00010A9F" w14:paraId="60047F74" w14:textId="4F4F16B5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701315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701315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701315">
        <w:rPr>
          <w:rFonts w:ascii="Courier New" w:hAnsi="Courier New" w:cs="Courier New"/>
          <w:i/>
          <w:iCs/>
          <w:sz w:val="24"/>
          <w:szCs w:val="24"/>
        </w:rPr>
        <w:t xml:space="preserve">”, </w:t>
      </w:r>
      <w:r w:rsidRPr="00701315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701315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701315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701315">
        <w:rPr>
          <w:rFonts w:ascii="Courier New" w:hAnsi="Courier New" w:cs="Courier New"/>
          <w:i/>
          <w:iCs/>
          <w:sz w:val="24"/>
          <w:szCs w:val="24"/>
        </w:rPr>
        <w:t>19 de maio de 2026</w:t>
      </w:r>
      <w:r w:rsidRPr="00701315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701315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5C5121" w:rsidRPr="00701315" w:rsidP="00010A9F" w14:paraId="28D11E3A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144CB" w:rsidRPr="00701315" w:rsidP="00010A9F" w14:paraId="739E9032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65074" w:rsidRPr="00701315" w:rsidP="00010A9F" w14:paraId="74A51B15" w14:textId="77777777">
      <w:pPr>
        <w:spacing w:before="120" w:after="12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701315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465074" w:rsidRPr="00701315" w:rsidP="00010A9F" w14:paraId="7D0CF11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01315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 w:rsidRPr="00701315">
        <w:rPr>
          <w:rFonts w:ascii="Courier New" w:hAnsi="Courier New" w:cs="Courier New"/>
          <w:b/>
          <w:bCs/>
          <w:sz w:val="24"/>
          <w:szCs w:val="24"/>
        </w:rPr>
        <w:br/>
        <w:t>PARTIDO DOS TRABALHADORES (PT)</w:t>
      </w:r>
    </w:p>
    <w:p w:rsidR="00CF4DAC" w:rsidP="0005451B" w14:paraId="284E5ADD" w14:textId="77777777">
      <w:pPr>
        <w:suppressAutoHyphens w:val="0"/>
        <w:spacing w:after="160" w:line="259" w:lineRule="auto"/>
        <w:jc w:val="center"/>
        <w:rPr>
          <w:rFonts w:ascii="Courier New" w:hAnsi="Courier New" w:cs="Courier New"/>
          <w:sz w:val="22"/>
          <w:szCs w:val="22"/>
        </w:rPr>
      </w:pPr>
      <w:r w:rsidRPr="00465074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91624" cy="1295400"/>
            <wp:effectExtent l="0" t="0" r="8890" b="0"/>
            <wp:docPr id="562387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67631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751" cy="131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074">
        <w:rPr>
          <w:rFonts w:ascii="Courier New" w:hAnsi="Courier New" w:cs="Courier New"/>
          <w:sz w:val="22"/>
          <w:szCs w:val="22"/>
        </w:rPr>
        <w:br w:type="page"/>
      </w:r>
    </w:p>
    <w:p w:rsidR="00465074" w:rsidRPr="00465074" w:rsidP="00010A9F" w14:paraId="77A50B7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465074">
        <w:rPr>
          <w:rFonts w:ascii="Courier New" w:hAnsi="Courier New" w:cs="Courier New"/>
          <w:b/>
          <w:bCs/>
          <w:sz w:val="22"/>
          <w:szCs w:val="22"/>
          <w:u w:val="single"/>
        </w:rPr>
        <w:t>JUSTIFICAÇÃO</w:t>
      </w:r>
    </w:p>
    <w:p w:rsidR="00A164B8" w:rsidP="00010A9F" w14:paraId="58021A9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6B1AE4" w:rsidRPr="006B1AE4" w:rsidP="006B1AE4" w14:paraId="51DC77D5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B1AE4">
        <w:rPr>
          <w:rFonts w:ascii="Courier New" w:hAnsi="Courier New" w:cs="Courier New"/>
          <w:sz w:val="22"/>
          <w:szCs w:val="22"/>
        </w:rPr>
        <w:t xml:space="preserve">A presente emenda guarda estrita conformidade com a técnica legislativa e com a repartição constitucional de competências, posto que visa instituir o dever de planejamento voltado à proteção integral da mulher e ao combate à violência doméstica, garantindo que o </w:t>
      </w:r>
      <w:r w:rsidRPr="006B1AE4">
        <w:rPr>
          <w:rFonts w:ascii="Courier New" w:hAnsi="Courier New" w:cs="Courier New"/>
          <w:b/>
          <w:bCs/>
          <w:sz w:val="22"/>
          <w:szCs w:val="22"/>
        </w:rPr>
        <w:t xml:space="preserve">orçamento municipal atue como instrumento de salvaguarda da vida e da integridade física e psicológica das cidadãs </w:t>
      </w:r>
      <w:r w:rsidRPr="006B1AE4">
        <w:rPr>
          <w:rFonts w:ascii="Courier New" w:hAnsi="Courier New" w:cs="Courier New"/>
          <w:b/>
          <w:bCs/>
          <w:sz w:val="22"/>
          <w:szCs w:val="22"/>
        </w:rPr>
        <w:t>mogimirianas</w:t>
      </w:r>
      <w:r w:rsidRPr="006B1AE4">
        <w:rPr>
          <w:rFonts w:ascii="Courier New" w:hAnsi="Courier New" w:cs="Courier New"/>
          <w:b/>
          <w:bCs/>
          <w:sz w:val="22"/>
          <w:szCs w:val="22"/>
        </w:rPr>
        <w:t>.</w:t>
      </w:r>
    </w:p>
    <w:p w:rsidR="006B1AE4" w:rsidRPr="006B1AE4" w:rsidP="006B1AE4" w14:paraId="11EE07CA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B1AE4">
        <w:rPr>
          <w:rFonts w:ascii="Courier New" w:hAnsi="Courier New" w:cs="Courier New"/>
          <w:sz w:val="22"/>
          <w:szCs w:val="22"/>
        </w:rPr>
        <w:t xml:space="preserve">A inclusão da construção da Casa Abrigo da Mulher e o fomento a parcerias intermunicipais no planejamento orçamentário fundamentam-se, primordialmente, no </w:t>
      </w:r>
      <w:r w:rsidRPr="006B1AE4">
        <w:rPr>
          <w:rFonts w:ascii="Courier New" w:hAnsi="Courier New" w:cs="Courier New"/>
          <w:b/>
          <w:bCs/>
          <w:sz w:val="22"/>
          <w:szCs w:val="22"/>
        </w:rPr>
        <w:t>Princípio da Dignidade da Pessoa Humana</w:t>
      </w:r>
      <w:r w:rsidRPr="006B1AE4">
        <w:rPr>
          <w:rFonts w:ascii="Courier New" w:hAnsi="Courier New" w:cs="Courier New"/>
          <w:sz w:val="22"/>
          <w:szCs w:val="22"/>
        </w:rPr>
        <w:t xml:space="preserve"> (Art. 1º, III, CF/88) e no dever específico do Estado de assegurar a assistência à família e criar mecanismos para coibir a violência no âmbito de suas relações (Art. 226, § 8º, CF/88):</w:t>
      </w:r>
    </w:p>
    <w:p w:rsidR="008B64C1" w:rsidP="002C7885" w14:paraId="774DE28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6B1AE4" w:rsidP="002150D7" w14:paraId="155AFC39" w14:textId="584AAE5C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6B1AE4">
        <w:rPr>
          <w:rFonts w:ascii="Courier New" w:hAnsi="Courier New" w:cs="Courier New"/>
          <w:b/>
          <w:bCs/>
        </w:rPr>
        <w:t>Art. 226.</w:t>
      </w:r>
      <w:r w:rsidRPr="006B1AE4">
        <w:rPr>
          <w:rFonts w:ascii="Courier New" w:hAnsi="Courier New" w:cs="Courier New"/>
        </w:rPr>
        <w:t xml:space="preserve"> A família, base da sociedade, tem especial proteção do Estado. </w:t>
      </w:r>
      <w:r>
        <w:rPr>
          <w:rFonts w:ascii="Courier New" w:hAnsi="Courier New" w:cs="Courier New"/>
        </w:rPr>
        <w:t>[.</w:t>
      </w:r>
      <w:r w:rsidRPr="006B1AE4">
        <w:rPr>
          <w:rFonts w:ascii="Courier New" w:hAnsi="Courier New" w:cs="Courier New"/>
        </w:rPr>
        <w:t>..</w:t>
      </w:r>
      <w:r>
        <w:rPr>
          <w:rFonts w:ascii="Courier New" w:hAnsi="Courier New" w:cs="Courier New"/>
        </w:rPr>
        <w:t>]</w:t>
      </w:r>
    </w:p>
    <w:p w:rsidR="008B64C1" w:rsidRPr="00465074" w:rsidP="002150D7" w14:paraId="193D7C2D" w14:textId="2A197EA9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6B1AE4">
        <w:rPr>
          <w:rFonts w:ascii="Courier New" w:hAnsi="Courier New" w:cs="Courier New"/>
          <w:b/>
          <w:bCs/>
        </w:rPr>
        <w:t xml:space="preserve">§8º </w:t>
      </w:r>
      <w:r w:rsidRPr="006B1AE4">
        <w:rPr>
          <w:rFonts w:ascii="Courier New" w:hAnsi="Courier New" w:cs="Courier New"/>
        </w:rPr>
        <w:t>O Estado assegurará a assistência à família na pessoa de cada um dos que a integram, criando mecanismos para coibir a violência no âmbito de suas relações.</w:t>
      </w:r>
    </w:p>
    <w:p w:rsidR="006B1AE4" w:rsidP="006B1AE4" w14:paraId="552AC5BB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6B1AE4" w:rsidRPr="006B1AE4" w:rsidP="006B1AE4" w14:paraId="2A4A9BF0" w14:textId="7717AE1E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B1AE4">
        <w:rPr>
          <w:rFonts w:ascii="Courier New" w:hAnsi="Courier New" w:cs="Courier New"/>
          <w:sz w:val="22"/>
          <w:szCs w:val="22"/>
        </w:rPr>
        <w:t xml:space="preserve">A realidade fática é alarmante e exige resposta imediata do Poder Legislativo. Os dados apresentados pelo </w:t>
      </w:r>
      <w:r w:rsidRPr="006B1AE4">
        <w:rPr>
          <w:rFonts w:ascii="Courier New" w:hAnsi="Courier New" w:cs="Courier New"/>
          <w:b/>
          <w:bCs/>
          <w:sz w:val="22"/>
          <w:szCs w:val="22"/>
        </w:rPr>
        <w:t>19º Anuário Brasileiro de Segurança Pública (2025)</w:t>
      </w:r>
      <w:r>
        <w:rPr>
          <w:rStyle w:val="FootnoteReference"/>
          <w:rFonts w:ascii="Courier New" w:hAnsi="Courier New" w:cs="Courier New"/>
          <w:b/>
          <w:bCs/>
          <w:sz w:val="22"/>
          <w:szCs w:val="22"/>
        </w:rPr>
        <w:footnoteReference w:id="2"/>
      </w:r>
      <w:r w:rsidRPr="006B1AE4">
        <w:rPr>
          <w:rFonts w:ascii="Courier New" w:hAnsi="Courier New" w:cs="Courier New"/>
          <w:sz w:val="22"/>
          <w:szCs w:val="22"/>
        </w:rPr>
        <w:t xml:space="preserve"> (os quais não consideram a cifra oculta), não mentem:</w:t>
      </w:r>
    </w:p>
    <w:p w:rsidR="006B1AE4" w:rsidRPr="006B1AE4" w:rsidP="006B1AE4" w14:paraId="0B4CFEE9" w14:textId="77777777">
      <w:pPr>
        <w:pStyle w:val="ListParagraph"/>
        <w:numPr>
          <w:ilvl w:val="0"/>
          <w:numId w:val="2"/>
        </w:numPr>
        <w:pBdr>
          <w:top w:val="single" w:sz="18" w:space="1" w:color="EE0000"/>
          <w:left w:val="single" w:sz="18" w:space="4" w:color="EE0000"/>
          <w:bottom w:val="single" w:sz="18" w:space="1" w:color="EE0000"/>
          <w:right w:val="single" w:sz="18" w:space="4" w:color="EE0000"/>
        </w:pBdr>
        <w:spacing w:before="120" w:after="120" w:line="276" w:lineRule="auto"/>
        <w:ind w:left="1134" w:right="1183" w:firstLine="0"/>
        <w:contextualSpacing w:val="0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6B1AE4">
        <w:rPr>
          <w:rFonts w:ascii="Courier New" w:hAnsi="Courier New" w:cs="Courier New"/>
          <w:b/>
          <w:bCs/>
          <w:sz w:val="22"/>
          <w:szCs w:val="22"/>
        </w:rPr>
        <w:t>A cada hora, dezessete mulheres são VIOLENTADAS;</w:t>
      </w:r>
    </w:p>
    <w:p w:rsidR="006B1AE4" w:rsidRPr="006B1AE4" w:rsidP="006B1AE4" w14:paraId="23DBF761" w14:textId="77777777">
      <w:pPr>
        <w:spacing w:before="120" w:after="120" w:line="276" w:lineRule="auto"/>
        <w:ind w:left="1134" w:right="1183"/>
        <w:jc w:val="center"/>
        <w:rPr>
          <w:rFonts w:ascii="Courier New" w:hAnsi="Courier New" w:cs="Courier New"/>
          <w:sz w:val="10"/>
          <w:szCs w:val="10"/>
        </w:rPr>
      </w:pPr>
    </w:p>
    <w:p w:rsidR="006B1AE4" w:rsidRPr="006B1AE4" w:rsidP="006B1AE4" w14:paraId="48AE09B2" w14:textId="77777777">
      <w:pPr>
        <w:pStyle w:val="ListParagraph"/>
        <w:numPr>
          <w:ilvl w:val="0"/>
          <w:numId w:val="2"/>
        </w:numPr>
        <w:pBdr>
          <w:top w:val="single" w:sz="18" w:space="1" w:color="EE0000"/>
          <w:left w:val="single" w:sz="18" w:space="4" w:color="EE0000"/>
          <w:bottom w:val="single" w:sz="18" w:space="1" w:color="EE0000"/>
          <w:right w:val="single" w:sz="18" w:space="4" w:color="EE0000"/>
        </w:pBdr>
        <w:spacing w:before="120" w:after="120" w:line="276" w:lineRule="auto"/>
        <w:ind w:left="1134" w:right="1183" w:firstLine="0"/>
        <w:contextualSpacing w:val="0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6B1AE4">
        <w:rPr>
          <w:rFonts w:ascii="Courier New" w:hAnsi="Courier New" w:cs="Courier New"/>
          <w:b/>
          <w:bCs/>
          <w:sz w:val="22"/>
          <w:szCs w:val="22"/>
        </w:rPr>
        <w:t>A cada hora, nove mulheres são ESTUPRADAS;</w:t>
      </w:r>
    </w:p>
    <w:p w:rsidR="006B1AE4" w:rsidRPr="006B1AE4" w:rsidP="006B1AE4" w14:paraId="57B6DA1D" w14:textId="77777777">
      <w:pPr>
        <w:spacing w:before="120" w:after="120" w:line="276" w:lineRule="auto"/>
        <w:ind w:left="1134" w:right="1183"/>
        <w:jc w:val="center"/>
        <w:rPr>
          <w:rFonts w:ascii="Courier New" w:hAnsi="Courier New" w:cs="Courier New"/>
          <w:sz w:val="10"/>
          <w:szCs w:val="10"/>
        </w:rPr>
      </w:pPr>
    </w:p>
    <w:p w:rsidR="006B1AE4" w:rsidRPr="006B1AE4" w:rsidP="006B1AE4" w14:paraId="1CDA6C52" w14:textId="77777777">
      <w:pPr>
        <w:pStyle w:val="ListParagraph"/>
        <w:numPr>
          <w:ilvl w:val="0"/>
          <w:numId w:val="2"/>
        </w:numPr>
        <w:pBdr>
          <w:top w:val="single" w:sz="18" w:space="1" w:color="EE0000"/>
          <w:left w:val="single" w:sz="18" w:space="4" w:color="EE0000"/>
          <w:bottom w:val="single" w:sz="18" w:space="1" w:color="EE0000"/>
          <w:right w:val="single" w:sz="18" w:space="4" w:color="EE0000"/>
        </w:pBdr>
        <w:spacing w:before="120" w:after="120" w:line="276" w:lineRule="auto"/>
        <w:ind w:left="1134" w:right="1183" w:firstLine="0"/>
        <w:contextualSpacing w:val="0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6B1AE4">
        <w:rPr>
          <w:rFonts w:ascii="Courier New" w:hAnsi="Courier New" w:cs="Courier New"/>
          <w:b/>
          <w:bCs/>
          <w:sz w:val="22"/>
          <w:szCs w:val="22"/>
        </w:rPr>
        <w:t>A cada seis horas, uma mulher é MORTA;</w:t>
      </w:r>
    </w:p>
    <w:p w:rsidR="006B1AE4" w:rsidRPr="006B1AE4" w:rsidP="006B1AE4" w14:paraId="027A3AD8" w14:textId="77777777">
      <w:pPr>
        <w:spacing w:before="120" w:after="120" w:line="276" w:lineRule="auto"/>
        <w:ind w:left="1134" w:right="900" w:hanging="283"/>
        <w:jc w:val="both"/>
        <w:rPr>
          <w:rFonts w:ascii="Courier New" w:hAnsi="Courier New" w:cs="Courier New"/>
          <w:sz w:val="10"/>
          <w:szCs w:val="10"/>
        </w:rPr>
      </w:pPr>
    </w:p>
    <w:p w:rsidR="006B1AE4" w:rsidRPr="006B1AE4" w:rsidP="006B1AE4" w14:paraId="263014A9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B1AE4">
        <w:rPr>
          <w:rFonts w:ascii="Courier New" w:hAnsi="Courier New" w:cs="Courier New"/>
          <w:sz w:val="22"/>
          <w:szCs w:val="22"/>
        </w:rPr>
        <w:t xml:space="preserve">Ainda segundo o </w:t>
      </w:r>
      <w:r w:rsidRPr="006B1AE4">
        <w:rPr>
          <w:rFonts w:ascii="Courier New" w:hAnsi="Courier New" w:cs="Courier New"/>
          <w:b/>
          <w:bCs/>
          <w:sz w:val="22"/>
          <w:szCs w:val="22"/>
        </w:rPr>
        <w:t>19º Anuário Brasileiro de Segurança Pública (2025)</w:t>
      </w:r>
      <w:r w:rsidRPr="006B1AE4">
        <w:rPr>
          <w:rFonts w:ascii="Courier New" w:hAnsi="Courier New" w:cs="Courier New"/>
          <w:sz w:val="22"/>
          <w:szCs w:val="22"/>
        </w:rPr>
        <w:t xml:space="preserve">, o Brasil registrou em 2024 o maior número de estupros de sua história, com </w:t>
      </w:r>
      <w:r w:rsidRPr="006B1AE4">
        <w:rPr>
          <w:rFonts w:ascii="Courier New" w:hAnsi="Courier New" w:cs="Courier New"/>
          <w:b/>
          <w:bCs/>
          <w:sz w:val="22"/>
          <w:szCs w:val="22"/>
        </w:rPr>
        <w:t>87.545 ocorrências</w:t>
      </w:r>
      <w:r w:rsidRPr="006B1AE4">
        <w:rPr>
          <w:rFonts w:ascii="Courier New" w:hAnsi="Courier New" w:cs="Courier New"/>
          <w:sz w:val="22"/>
          <w:szCs w:val="22"/>
        </w:rPr>
        <w:t>. O mesmo relatório aponta que os casos de feminicídio atingiram a marca recorde de 1.492 vítimas em 2024, enquanto as tentativas de feminicídio cresceram 19%.</w:t>
      </w:r>
    </w:p>
    <w:p w:rsidR="006B1AE4" w:rsidRPr="006B1AE4" w:rsidP="006B1AE4" w14:paraId="1D9566F9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B1AE4">
        <w:rPr>
          <w:rFonts w:ascii="Courier New" w:hAnsi="Courier New" w:cs="Courier New"/>
          <w:sz w:val="22"/>
          <w:szCs w:val="22"/>
        </w:rPr>
        <w:t>No cenário estadual, a situação não é diferente. O Estado de São Paulo registrou recorde de feminicídios em 2025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3"/>
      </w:r>
      <w:r w:rsidRPr="006B1AE4">
        <w:rPr>
          <w:rFonts w:ascii="Courier New" w:hAnsi="Courier New" w:cs="Courier New"/>
          <w:sz w:val="22"/>
          <w:szCs w:val="22"/>
        </w:rPr>
        <w:t xml:space="preserve">, com </w:t>
      </w:r>
      <w:r w:rsidRPr="006B1AE4">
        <w:rPr>
          <w:rFonts w:ascii="Courier New" w:hAnsi="Courier New" w:cs="Courier New"/>
          <w:b/>
          <w:bCs/>
          <w:sz w:val="22"/>
          <w:szCs w:val="22"/>
        </w:rPr>
        <w:t>270 casos</w:t>
      </w:r>
      <w:r w:rsidRPr="006B1AE4">
        <w:rPr>
          <w:rFonts w:ascii="Courier New" w:hAnsi="Courier New" w:cs="Courier New"/>
          <w:sz w:val="22"/>
          <w:szCs w:val="22"/>
        </w:rPr>
        <w:t xml:space="preserve">, representando um aumento de 6,7% em relação ao ano anterior. Além disso, apenas no primeiro semestre de 2025, os pedidos de medidas </w:t>
      </w:r>
      <w:r w:rsidRPr="006B1AE4">
        <w:rPr>
          <w:rFonts w:ascii="Courier New" w:hAnsi="Courier New" w:cs="Courier New"/>
          <w:sz w:val="22"/>
          <w:szCs w:val="22"/>
        </w:rPr>
        <w:t xml:space="preserve">protetivas de urgência em solo paulista cresceram </w:t>
      </w:r>
      <w:r w:rsidRPr="006B1AE4">
        <w:rPr>
          <w:rFonts w:ascii="Courier New" w:hAnsi="Courier New" w:cs="Courier New"/>
          <w:b/>
          <w:bCs/>
          <w:sz w:val="22"/>
          <w:szCs w:val="22"/>
        </w:rPr>
        <w:t>22,3%</w:t>
      </w:r>
      <w:r w:rsidRPr="006B1AE4">
        <w:rPr>
          <w:rFonts w:ascii="Courier New" w:hAnsi="Courier New" w:cs="Courier New"/>
          <w:sz w:val="22"/>
          <w:szCs w:val="22"/>
        </w:rPr>
        <w:t>, totalizando quase 68 mil solicitações.</w:t>
      </w:r>
    </w:p>
    <w:p w:rsidR="006B1AE4" w:rsidRPr="006B1AE4" w:rsidP="006B1AE4" w14:paraId="079C253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B1AE4">
        <w:rPr>
          <w:rFonts w:ascii="Courier New" w:hAnsi="Courier New" w:cs="Courier New"/>
          <w:sz w:val="22"/>
          <w:szCs w:val="22"/>
        </w:rPr>
        <w:t xml:space="preserve">Especificamente em </w:t>
      </w:r>
      <w:r w:rsidRPr="006B1AE4">
        <w:rPr>
          <w:rFonts w:ascii="Courier New" w:hAnsi="Courier New" w:cs="Courier New"/>
          <w:b/>
          <w:bCs/>
          <w:sz w:val="22"/>
          <w:szCs w:val="22"/>
        </w:rPr>
        <w:t>Mogi Mirim</w:t>
      </w:r>
      <w:r w:rsidRPr="006B1AE4">
        <w:rPr>
          <w:rFonts w:ascii="Courier New" w:hAnsi="Courier New" w:cs="Courier New"/>
          <w:sz w:val="22"/>
          <w:szCs w:val="22"/>
        </w:rPr>
        <w:t>, dados das Secretarias de Segurança Pública e Defesa Civil</w:t>
      </w:r>
      <w:r>
        <w:rPr>
          <w:rStyle w:val="FootnoteReference"/>
          <w:rFonts w:ascii="Courier New" w:hAnsi="Courier New" w:cs="Courier New"/>
          <w:sz w:val="22"/>
          <w:szCs w:val="22"/>
        </w:rPr>
        <w:footnoteReference w:id="4"/>
      </w:r>
      <w:r w:rsidRPr="006B1AE4">
        <w:rPr>
          <w:rFonts w:ascii="Courier New" w:hAnsi="Courier New" w:cs="Courier New"/>
          <w:sz w:val="22"/>
          <w:szCs w:val="22"/>
        </w:rPr>
        <w:t xml:space="preserve"> revelam que a cidade não está imune a essa onda de violência. Tanto assim o é, que em 2024 acabaram por ser identificadas 122 ocorrências (também ignorando a cifra oculta existente), das quais cinco foram por estupro e 73 (setenta e três) por violência doméstica.</w:t>
      </w:r>
    </w:p>
    <w:p w:rsidR="006B1AE4" w:rsidP="006B1AE4" w14:paraId="74392DEE" w14:textId="1F877B4C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B1AE4">
        <w:rPr>
          <w:rFonts w:ascii="Courier New" w:hAnsi="Courier New" w:cs="Courier New"/>
          <w:sz w:val="22"/>
          <w:szCs w:val="22"/>
        </w:rPr>
        <w:t xml:space="preserve">No plano do direito internacional, a emenda materializa o compromisso assumido pelo Estado Brasileiro na </w:t>
      </w:r>
      <w:r w:rsidRPr="006B1AE4">
        <w:rPr>
          <w:rFonts w:ascii="Courier New" w:hAnsi="Courier New" w:cs="Courier New"/>
          <w:b/>
          <w:bCs/>
          <w:sz w:val="22"/>
          <w:szCs w:val="22"/>
        </w:rPr>
        <w:t>Convenção Interamericana para Prevenir, Punir e Erradicar a Violência contra a Mulher (Convenção de Belém do Pará)</w:t>
      </w:r>
      <w:r w:rsidRPr="006B1AE4">
        <w:rPr>
          <w:rFonts w:ascii="Courier New" w:hAnsi="Courier New" w:cs="Courier New"/>
          <w:sz w:val="22"/>
          <w:szCs w:val="22"/>
        </w:rPr>
        <w:t xml:space="preserve">, que define a violência contra a mulher como qualquer ato ou conduta baseada no gênero que cause morte, dano ou sofrimento físico, sexual ou psicológico, tanto na esfera pública quanto na privada. A norma harmoniza-se ainda com a </w:t>
      </w:r>
      <w:r w:rsidRPr="006B1AE4">
        <w:rPr>
          <w:rFonts w:ascii="Courier New" w:hAnsi="Courier New" w:cs="Courier New"/>
          <w:b/>
          <w:bCs/>
          <w:sz w:val="22"/>
          <w:szCs w:val="22"/>
        </w:rPr>
        <w:t>Convenção sobre a Eliminação de Todas as Formas de Discriminação contra as Mulheres (</w:t>
      </w:r>
      <w:r w:rsidRPr="006B1AE4">
        <w:rPr>
          <w:rFonts w:ascii="Courier New" w:hAnsi="Courier New" w:cs="Courier New"/>
          <w:b/>
          <w:bCs/>
          <w:sz w:val="22"/>
          <w:szCs w:val="22"/>
        </w:rPr>
        <w:t>CEDAW</w:t>
      </w:r>
      <w:r w:rsidRPr="006B1AE4">
        <w:rPr>
          <w:rFonts w:ascii="Courier New" w:hAnsi="Courier New" w:cs="Courier New"/>
          <w:b/>
          <w:bCs/>
          <w:sz w:val="22"/>
          <w:szCs w:val="22"/>
        </w:rPr>
        <w:t>)</w:t>
      </w:r>
      <w:r w:rsidRPr="006B1AE4">
        <w:rPr>
          <w:rFonts w:ascii="Courier New" w:hAnsi="Courier New" w:cs="Courier New"/>
          <w:sz w:val="22"/>
          <w:szCs w:val="22"/>
        </w:rPr>
        <w:t>, ratificada pelo Brasil, que impõe às autoridades públicas o dever de atuar ativamente na eliminação da discriminação e na proteção dos direitos fundamentais das mulheres</w:t>
      </w:r>
      <w:r>
        <w:rPr>
          <w:rFonts w:ascii="Courier New" w:hAnsi="Courier New" w:cs="Courier New"/>
          <w:sz w:val="22"/>
          <w:szCs w:val="22"/>
        </w:rPr>
        <w:t>:</w:t>
      </w:r>
    </w:p>
    <w:p w:rsidR="006B1AE4" w:rsidP="006B1AE4" w14:paraId="13DBDAF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6B1AE4" w:rsidRPr="00465074" w:rsidP="006B1AE4" w14:paraId="50C377C7" w14:textId="6E6BFDAA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784130">
        <w:rPr>
          <w:rFonts w:ascii="Courier New" w:hAnsi="Courier New" w:cs="Courier New"/>
        </w:rPr>
        <w:t xml:space="preserve">MISOGINIA. </w:t>
      </w:r>
      <w:r>
        <w:rPr>
          <w:rFonts w:ascii="Courier New" w:hAnsi="Courier New" w:cs="Courier New"/>
        </w:rPr>
        <w:t>[</w:t>
      </w:r>
      <w:r w:rsidRPr="00784130">
        <w:rPr>
          <w:rFonts w:ascii="Courier New" w:hAnsi="Courier New" w:cs="Courier New"/>
        </w:rPr>
        <w:t>...</w:t>
      </w:r>
      <w:r>
        <w:rPr>
          <w:rFonts w:ascii="Courier New" w:hAnsi="Courier New" w:cs="Courier New"/>
        </w:rPr>
        <w:t>]</w:t>
      </w:r>
      <w:r w:rsidRPr="00784130">
        <w:rPr>
          <w:rFonts w:ascii="Courier New" w:hAnsi="Courier New" w:cs="Courier New"/>
        </w:rPr>
        <w:t xml:space="preserve"> CONVENÇÃO INTERAMERICANA PARA PREVENIR, PUNIR E ERRADICAR A VIOLÊNCIA CONTRA A MULHER (CONVENÇÃO BELÉM DO PARÁ). CONVENÇÃO SOBRE A ELIMINAÇÃO DE TODAS AS FORMAS DE DISCRIMINAÇÃO CONTRA A MULHER (</w:t>
      </w:r>
      <w:r w:rsidRPr="00784130">
        <w:rPr>
          <w:rFonts w:ascii="Courier New" w:hAnsi="Courier New" w:cs="Courier New"/>
        </w:rPr>
        <w:t>CEDAW</w:t>
      </w:r>
      <w:r w:rsidRPr="00784130">
        <w:rPr>
          <w:rFonts w:ascii="Courier New" w:hAnsi="Courier New" w:cs="Courier New"/>
        </w:rPr>
        <w:t xml:space="preserve">). 1. Cabe às autoridades públicas atuarem de forma a eliminar todas as formas de discriminação contra a mulher praticada por quaisquer pessoas, organização ou empresa, conforme compromisso assumido pelo Brasil, signatário das Recomendações da Convenção Interamericana para Prevenir, Punir e Erradicar a Violência contra a Mulher (Convenção Belém do Pará, de 1994) e da Convenção sobre a Eliminação de Todas as Formas de Discriminação contra a Mulher (CEDAW,1979) </w:t>
      </w:r>
      <w:r>
        <w:rPr>
          <w:rFonts w:ascii="Courier New" w:hAnsi="Courier New" w:cs="Courier New"/>
        </w:rPr>
        <w:t>[</w:t>
      </w:r>
      <w:r w:rsidRPr="00784130">
        <w:rPr>
          <w:rFonts w:ascii="Courier New" w:hAnsi="Courier New" w:cs="Courier New"/>
        </w:rPr>
        <w:t>...</w:t>
      </w:r>
      <w:r>
        <w:rPr>
          <w:rFonts w:ascii="Courier New" w:hAnsi="Courier New" w:cs="Courier New"/>
        </w:rPr>
        <w:t>]</w:t>
      </w:r>
      <w:r w:rsidRPr="00784130">
        <w:rPr>
          <w:rFonts w:ascii="Courier New" w:hAnsi="Courier New" w:cs="Courier New"/>
        </w:rPr>
        <w:t xml:space="preserve"> 2. Como se extrai do art. 1º da Convenção 111 da OIT, todo e qualquer tratamento desigual </w:t>
      </w:r>
      <w:r>
        <w:rPr>
          <w:rFonts w:ascii="Courier New" w:hAnsi="Courier New" w:cs="Courier New"/>
        </w:rPr>
        <w:t>[</w:t>
      </w:r>
      <w:r w:rsidRPr="00784130">
        <w:rPr>
          <w:rFonts w:ascii="Courier New" w:hAnsi="Courier New" w:cs="Courier New"/>
        </w:rPr>
        <w:t>...</w:t>
      </w:r>
      <w:r>
        <w:rPr>
          <w:rFonts w:ascii="Courier New" w:hAnsi="Courier New" w:cs="Courier New"/>
        </w:rPr>
        <w:t>]</w:t>
      </w:r>
      <w:r w:rsidRPr="00784130">
        <w:rPr>
          <w:rFonts w:ascii="Courier New" w:hAnsi="Courier New" w:cs="Courier New"/>
        </w:rPr>
        <w:t xml:space="preserve"> que promova a violência e o assédio, constitui discriminação. 3. Entretanto, não obstante o vasto arcabouço normativo internacional, fatores histórico-culturais enraizados na nossa sociedade machista e patriarcal perpetuam a discriminação contra a mulher </w:t>
      </w:r>
      <w:r>
        <w:rPr>
          <w:rFonts w:ascii="Courier New" w:hAnsi="Courier New" w:cs="Courier New"/>
        </w:rPr>
        <w:t>[</w:t>
      </w:r>
      <w:r w:rsidRPr="00784130">
        <w:rPr>
          <w:rFonts w:ascii="Courier New" w:hAnsi="Courier New" w:cs="Courier New"/>
        </w:rPr>
        <w:t>...</w:t>
      </w:r>
      <w:r>
        <w:rPr>
          <w:rFonts w:ascii="Courier New" w:hAnsi="Courier New" w:cs="Courier New"/>
        </w:rPr>
        <w:t>]</w:t>
      </w:r>
      <w:r w:rsidRPr="00784130">
        <w:rPr>
          <w:rFonts w:ascii="Courier New" w:hAnsi="Courier New" w:cs="Courier New"/>
        </w:rPr>
        <w:t xml:space="preserve"> 4. </w:t>
      </w:r>
      <w:r>
        <w:rPr>
          <w:rFonts w:ascii="Courier New" w:hAnsi="Courier New" w:cs="Courier New"/>
        </w:rPr>
        <w:t>[</w:t>
      </w:r>
      <w:r w:rsidRPr="00784130">
        <w:rPr>
          <w:rFonts w:ascii="Courier New" w:hAnsi="Courier New" w:cs="Courier New"/>
        </w:rPr>
        <w:t>...</w:t>
      </w:r>
      <w:r>
        <w:rPr>
          <w:rFonts w:ascii="Courier New" w:hAnsi="Courier New" w:cs="Courier New"/>
        </w:rPr>
        <w:t>]</w:t>
      </w:r>
      <w:r w:rsidRPr="00784130">
        <w:rPr>
          <w:rFonts w:ascii="Courier New" w:hAnsi="Courier New" w:cs="Courier New"/>
        </w:rPr>
        <w:t xml:space="preserve"> A referida Convenção reconhece que a violência e o assédio nas relações laborais violam os direitos humanos, ameaçam a igualdade de oportunidades e são incompatíveis com o trabalho decente. </w:t>
      </w:r>
      <w:r>
        <w:rPr>
          <w:rFonts w:ascii="Courier New" w:hAnsi="Courier New" w:cs="Courier New"/>
        </w:rPr>
        <w:t>[</w:t>
      </w:r>
      <w:r w:rsidRPr="00784130">
        <w:rPr>
          <w:rFonts w:ascii="Courier New" w:hAnsi="Courier New" w:cs="Courier New"/>
        </w:rPr>
        <w:t>...</w:t>
      </w:r>
      <w:r>
        <w:rPr>
          <w:rFonts w:ascii="Courier New" w:hAnsi="Courier New" w:cs="Courier New"/>
        </w:rPr>
        <w:t>]</w:t>
      </w:r>
      <w:r w:rsidRPr="00784130">
        <w:rPr>
          <w:rFonts w:ascii="Courier New" w:hAnsi="Courier New" w:cs="Courier New"/>
        </w:rPr>
        <w:t xml:space="preserve"> 5. O termo misoginia </w:t>
      </w:r>
      <w:r>
        <w:rPr>
          <w:rFonts w:ascii="Courier New" w:hAnsi="Courier New" w:cs="Courier New"/>
        </w:rPr>
        <w:t>[</w:t>
      </w:r>
      <w:r w:rsidRPr="00784130">
        <w:rPr>
          <w:rFonts w:ascii="Courier New" w:hAnsi="Courier New" w:cs="Courier New"/>
        </w:rPr>
        <w:t>...</w:t>
      </w:r>
      <w:r>
        <w:rPr>
          <w:rFonts w:ascii="Courier New" w:hAnsi="Courier New" w:cs="Courier New"/>
        </w:rPr>
        <w:t>]</w:t>
      </w:r>
      <w:r w:rsidRPr="00784130">
        <w:rPr>
          <w:rFonts w:ascii="Courier New" w:hAnsi="Courier New" w:cs="Courier New"/>
        </w:rPr>
        <w:t xml:space="preserve"> Trata-se do ódio ou aversão às mulheres, que pode se manifestar de diversas formas, como a objetificação, depreciação, descrédito e outros tipos de violência, física, moral, sexual, patrimonial ou psicológica. </w:t>
      </w:r>
      <w:r>
        <w:rPr>
          <w:rFonts w:ascii="Courier New" w:hAnsi="Courier New" w:cs="Courier New"/>
        </w:rPr>
        <w:t>[</w:t>
      </w:r>
      <w:r w:rsidRPr="00784130">
        <w:rPr>
          <w:rFonts w:ascii="Courier New" w:hAnsi="Courier New" w:cs="Courier New"/>
        </w:rPr>
        <w:t>...</w:t>
      </w:r>
      <w:r>
        <w:rPr>
          <w:rFonts w:ascii="Courier New" w:hAnsi="Courier New" w:cs="Courier New"/>
        </w:rPr>
        <w:t>]</w:t>
      </w:r>
      <w:r w:rsidRPr="00784130">
        <w:rPr>
          <w:rFonts w:ascii="Courier New" w:hAnsi="Courier New" w:cs="Courier New"/>
        </w:rPr>
        <w:t xml:space="preserve"> 7. </w:t>
      </w:r>
      <w:r>
        <w:rPr>
          <w:rFonts w:ascii="Courier New" w:hAnsi="Courier New" w:cs="Courier New"/>
        </w:rPr>
        <w:t>[</w:t>
      </w:r>
      <w:r w:rsidRPr="00784130">
        <w:rPr>
          <w:rFonts w:ascii="Courier New" w:hAnsi="Courier New" w:cs="Courier New"/>
        </w:rPr>
        <w:t>...</w:t>
      </w:r>
      <w:r>
        <w:rPr>
          <w:rFonts w:ascii="Courier New" w:hAnsi="Courier New" w:cs="Courier New"/>
        </w:rPr>
        <w:t>]</w:t>
      </w:r>
      <w:r w:rsidRPr="00784130">
        <w:rPr>
          <w:rFonts w:ascii="Courier New" w:hAnsi="Courier New" w:cs="Courier New"/>
        </w:rPr>
        <w:t xml:space="preserve"> é urgente implementar medidas de combate e superação das discriminações à mulher, para a efetivação da </w:t>
      </w:r>
      <w:r w:rsidRPr="00784130">
        <w:rPr>
          <w:rFonts w:ascii="Courier New" w:hAnsi="Courier New" w:cs="Courier New"/>
        </w:rPr>
        <w:t>jusfundamentalidade</w:t>
      </w:r>
      <w:r w:rsidRPr="00784130">
        <w:rPr>
          <w:rFonts w:ascii="Courier New" w:hAnsi="Courier New" w:cs="Courier New"/>
        </w:rPr>
        <w:t xml:space="preserve"> da Constituição de 1988 e das Convenções Internacionais adotadas pelo Brasil </w:t>
      </w:r>
      <w:r w:rsidRPr="00784130">
        <w:rPr>
          <w:rFonts w:ascii="Courier New" w:hAnsi="Courier New" w:cs="Courier New"/>
        </w:rPr>
        <w:t xml:space="preserve">para efetivação dos melhores ideais de democraticidade, respeitabilidade e simetria entre gêneros. </w:t>
      </w:r>
      <w:r>
        <w:rPr>
          <w:rFonts w:ascii="Courier New" w:hAnsi="Courier New" w:cs="Courier New"/>
        </w:rPr>
        <w:t>[</w:t>
      </w:r>
      <w:r w:rsidRPr="00784130">
        <w:rPr>
          <w:rFonts w:ascii="Courier New" w:hAnsi="Courier New" w:cs="Courier New"/>
        </w:rPr>
        <w:t>...</w:t>
      </w:r>
      <w:r>
        <w:rPr>
          <w:rFonts w:ascii="Courier New" w:hAnsi="Courier New" w:cs="Courier New"/>
        </w:rPr>
        <w:t>]</w:t>
      </w:r>
      <w:r w:rsidRPr="00784130">
        <w:rPr>
          <w:rFonts w:ascii="Courier New" w:hAnsi="Courier New" w:cs="Courier New"/>
        </w:rPr>
        <w:t xml:space="preserve"> MISOGINIA. </w:t>
      </w:r>
      <w:r>
        <w:rPr>
          <w:rFonts w:ascii="Courier New" w:hAnsi="Courier New" w:cs="Courier New"/>
        </w:rPr>
        <w:t>[</w:t>
      </w:r>
      <w:r w:rsidRPr="00784130">
        <w:rPr>
          <w:rFonts w:ascii="Courier New" w:hAnsi="Courier New" w:cs="Courier New"/>
        </w:rPr>
        <w:t>...</w:t>
      </w:r>
      <w:r>
        <w:rPr>
          <w:rFonts w:ascii="Courier New" w:hAnsi="Courier New" w:cs="Courier New"/>
        </w:rPr>
        <w:t xml:space="preserve">] </w:t>
      </w:r>
      <w:r w:rsidRPr="00784130">
        <w:rPr>
          <w:rFonts w:ascii="Courier New" w:hAnsi="Courier New" w:cs="Courier New"/>
        </w:rPr>
        <w:t xml:space="preserve">LESÃO QUE EXTRAPOLA O ÂMBITO INDIVIDUAL E ATINGE A COLETIVIDADE </w:t>
      </w:r>
      <w:r>
        <w:rPr>
          <w:rFonts w:ascii="Courier New" w:hAnsi="Courier New" w:cs="Courier New"/>
        </w:rPr>
        <w:t>[</w:t>
      </w:r>
      <w:r w:rsidRPr="00784130">
        <w:rPr>
          <w:rFonts w:ascii="Courier New" w:hAnsi="Courier New" w:cs="Courier New"/>
        </w:rPr>
        <w:t>...</w:t>
      </w:r>
      <w:r>
        <w:rPr>
          <w:rFonts w:ascii="Courier New" w:hAnsi="Courier New" w:cs="Courier New"/>
        </w:rPr>
        <w:t>]</w:t>
      </w:r>
      <w:r w:rsidRPr="00784130">
        <w:rPr>
          <w:rFonts w:ascii="Courier New" w:hAnsi="Courier New" w:cs="Courier New"/>
        </w:rPr>
        <w:t xml:space="preserve"> MEDIDAS IMPOSTAS </w:t>
      </w:r>
      <w:r>
        <w:rPr>
          <w:rFonts w:ascii="Courier New" w:hAnsi="Courier New" w:cs="Courier New"/>
        </w:rPr>
        <w:t>[</w:t>
      </w:r>
      <w:r w:rsidRPr="00784130">
        <w:rPr>
          <w:rFonts w:ascii="Courier New" w:hAnsi="Courier New" w:cs="Courier New"/>
        </w:rPr>
        <w:t>...</w:t>
      </w:r>
      <w:r>
        <w:rPr>
          <w:rFonts w:ascii="Courier New" w:hAnsi="Courier New" w:cs="Courier New"/>
        </w:rPr>
        <w:t>]</w:t>
      </w:r>
      <w:r w:rsidRPr="00784130">
        <w:rPr>
          <w:rFonts w:ascii="Courier New" w:hAnsi="Courier New" w:cs="Courier New"/>
        </w:rPr>
        <w:t xml:space="preserve"> PARA COIBIR PRÁTICAS MISÓGINAS, QUE AFETEM A DIGNIDADE HUMANA E CRIEM UM AMBIENTE HUMILHANTE </w:t>
      </w:r>
      <w:r>
        <w:rPr>
          <w:rFonts w:ascii="Courier New" w:hAnsi="Courier New" w:cs="Courier New"/>
        </w:rPr>
        <w:t>[</w:t>
      </w:r>
      <w:r w:rsidRPr="00784130">
        <w:rPr>
          <w:rFonts w:ascii="Courier New" w:hAnsi="Courier New" w:cs="Courier New"/>
        </w:rPr>
        <w:t>...</w:t>
      </w:r>
      <w:r>
        <w:rPr>
          <w:rFonts w:ascii="Courier New" w:hAnsi="Courier New" w:cs="Courier New"/>
        </w:rPr>
        <w:t>]</w:t>
      </w:r>
      <w:r w:rsidRPr="00784130">
        <w:rPr>
          <w:rFonts w:ascii="Courier New" w:hAnsi="Courier New" w:cs="Courier New"/>
        </w:rPr>
        <w:t xml:space="preserve"> </w:t>
      </w:r>
      <w:r w:rsidRPr="006B1AE4">
        <w:rPr>
          <w:rFonts w:ascii="Courier New" w:hAnsi="Courier New" w:cs="Courier New"/>
        </w:rPr>
        <w:t>(TRT-15 - ROT: 00121543520175150059 0012154-35.2017.5.15.0059, Relator: JOAO BATISTA MARTINS CESAR, 11ª Câmara, Data de Publicação: 27/11/2020)</w:t>
      </w:r>
    </w:p>
    <w:p w:rsidR="006B1AE4" w:rsidP="006B1AE4" w14:paraId="085DB43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6B1AE4" w:rsidRPr="006B1AE4" w:rsidP="006B1AE4" w14:paraId="50A3F580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B1AE4">
        <w:rPr>
          <w:rFonts w:ascii="Courier New" w:hAnsi="Courier New" w:cs="Courier New"/>
          <w:sz w:val="22"/>
          <w:szCs w:val="22"/>
        </w:rPr>
        <w:t xml:space="preserve">Ora, a proteção da mulher em situação de vulnerabilidade exige uma atuação proativa do ente municipal, fundamentada no </w:t>
      </w:r>
      <w:r w:rsidRPr="006B1AE4">
        <w:rPr>
          <w:rFonts w:ascii="Courier New" w:hAnsi="Courier New" w:cs="Courier New"/>
          <w:b/>
          <w:bCs/>
          <w:sz w:val="22"/>
          <w:szCs w:val="22"/>
        </w:rPr>
        <w:t>Princípio da Vedação ao Retrocesso Social</w:t>
      </w:r>
      <w:r w:rsidRPr="006B1AE4">
        <w:rPr>
          <w:rFonts w:ascii="Courier New" w:hAnsi="Courier New" w:cs="Courier New"/>
          <w:sz w:val="22"/>
          <w:szCs w:val="22"/>
        </w:rPr>
        <w:t xml:space="preserve"> e no brocardo </w:t>
      </w:r>
      <w:r w:rsidRPr="006B1AE4">
        <w:rPr>
          <w:rFonts w:ascii="Courier New" w:hAnsi="Courier New" w:cs="Courier New"/>
          <w:i/>
          <w:iCs/>
          <w:sz w:val="22"/>
          <w:szCs w:val="22"/>
        </w:rPr>
        <w:t xml:space="preserve">pro </w:t>
      </w:r>
      <w:r w:rsidRPr="006B1AE4">
        <w:rPr>
          <w:rFonts w:ascii="Courier New" w:hAnsi="Courier New" w:cs="Courier New"/>
          <w:i/>
          <w:iCs/>
          <w:sz w:val="22"/>
          <w:szCs w:val="22"/>
        </w:rPr>
        <w:t>homine</w:t>
      </w:r>
      <w:r w:rsidRPr="006B1AE4">
        <w:rPr>
          <w:rFonts w:ascii="Courier New" w:hAnsi="Courier New" w:cs="Courier New"/>
          <w:sz w:val="22"/>
          <w:szCs w:val="22"/>
        </w:rPr>
        <w:t xml:space="preserve">, que exige a interpretação normativa sempre favorável à proteção da dignidade humana. A criação de casas-abrigo é medida prevista na </w:t>
      </w:r>
      <w:r w:rsidRPr="006B1AE4">
        <w:rPr>
          <w:rFonts w:ascii="Courier New" w:hAnsi="Courier New" w:cs="Courier New"/>
          <w:b/>
          <w:bCs/>
          <w:sz w:val="22"/>
          <w:szCs w:val="22"/>
        </w:rPr>
        <w:t>Lei Maria da Penha (Lei nº 11.340/2006)</w:t>
      </w:r>
      <w:r w:rsidRPr="006B1AE4">
        <w:rPr>
          <w:rFonts w:ascii="Courier New" w:hAnsi="Courier New" w:cs="Courier New"/>
          <w:sz w:val="22"/>
          <w:szCs w:val="22"/>
        </w:rPr>
        <w:t xml:space="preserve"> como política pública essencial para a interrupção do ciclo de violência e a garantia da segurança das vítimas.</w:t>
      </w:r>
    </w:p>
    <w:p w:rsidR="006B1AE4" w:rsidRPr="006B1AE4" w:rsidP="006B1AE4" w14:paraId="3D0E1B06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B1AE4">
        <w:rPr>
          <w:rFonts w:ascii="Courier New" w:hAnsi="Courier New" w:cs="Courier New"/>
          <w:sz w:val="22"/>
          <w:szCs w:val="22"/>
        </w:rPr>
        <w:t xml:space="preserve">Então, ao priorizar o acolhimento e a proteção, o orçamento deixa de ser um balanço contábil para tornar-se instrumento de defesa da vida. A aplicação do preceito </w:t>
      </w:r>
      <w:r w:rsidRPr="006B1AE4">
        <w:rPr>
          <w:rFonts w:ascii="Courier New" w:hAnsi="Courier New" w:cs="Courier New"/>
          <w:i/>
          <w:iCs/>
          <w:sz w:val="22"/>
          <w:szCs w:val="22"/>
        </w:rPr>
        <w:t>salus</w:t>
      </w:r>
      <w:r w:rsidRPr="006B1AE4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6B1AE4">
        <w:rPr>
          <w:rFonts w:ascii="Courier New" w:hAnsi="Courier New" w:cs="Courier New"/>
          <w:i/>
          <w:iCs/>
          <w:sz w:val="22"/>
          <w:szCs w:val="22"/>
        </w:rPr>
        <w:t>populi</w:t>
      </w:r>
      <w:r w:rsidRPr="006B1AE4">
        <w:rPr>
          <w:rFonts w:ascii="Courier New" w:hAnsi="Courier New" w:cs="Courier New"/>
          <w:i/>
          <w:iCs/>
          <w:sz w:val="22"/>
          <w:szCs w:val="22"/>
        </w:rPr>
        <w:t xml:space="preserve"> suprema </w:t>
      </w:r>
      <w:r w:rsidRPr="006B1AE4">
        <w:rPr>
          <w:rFonts w:ascii="Courier New" w:hAnsi="Courier New" w:cs="Courier New"/>
          <w:i/>
          <w:iCs/>
          <w:sz w:val="22"/>
          <w:szCs w:val="22"/>
        </w:rPr>
        <w:t>lex</w:t>
      </w:r>
      <w:r w:rsidRPr="006B1AE4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6B1AE4">
        <w:rPr>
          <w:rFonts w:ascii="Courier New" w:hAnsi="Courier New" w:cs="Courier New"/>
          <w:i/>
          <w:iCs/>
          <w:sz w:val="22"/>
          <w:szCs w:val="22"/>
        </w:rPr>
        <w:t>esto</w:t>
      </w:r>
      <w:r w:rsidRPr="006B1AE4">
        <w:rPr>
          <w:rFonts w:ascii="Courier New" w:hAnsi="Courier New" w:cs="Courier New"/>
          <w:sz w:val="22"/>
          <w:szCs w:val="22"/>
        </w:rPr>
        <w:t xml:space="preserve"> exige que a segurança das mulheres, em seu sentido mais urgente — a preservação da integridade física contra o arbítrio e a violência doméstica —, seja a lei suprema do planejamento governamental.</w:t>
      </w:r>
    </w:p>
    <w:p w:rsidR="006B1AE4" w:rsidP="006B1AE4" w14:paraId="612F81C1" w14:textId="531367F0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B1AE4">
        <w:rPr>
          <w:rFonts w:ascii="Courier New" w:hAnsi="Courier New" w:cs="Courier New"/>
          <w:sz w:val="22"/>
          <w:szCs w:val="22"/>
        </w:rPr>
        <w:t xml:space="preserve">Fato é que inexiste vício de iniciativa ou usurpação de competência administrativa, uma vez que o dispositivo ora proposto estabelece </w:t>
      </w:r>
      <w:r w:rsidRPr="006B1AE4">
        <w:rPr>
          <w:rFonts w:ascii="Courier New" w:hAnsi="Courier New" w:cs="Courier New"/>
          <w:b/>
          <w:bCs/>
          <w:sz w:val="22"/>
          <w:szCs w:val="22"/>
        </w:rPr>
        <w:t>diretrizes de planejamento</w:t>
      </w:r>
      <w:r w:rsidRPr="006B1AE4">
        <w:rPr>
          <w:rFonts w:ascii="Courier New" w:hAnsi="Courier New" w:cs="Courier New"/>
          <w:sz w:val="22"/>
          <w:szCs w:val="22"/>
        </w:rPr>
        <w:t xml:space="preserve"> voltadas à eficiência social das políticas públicas. Conforme o entendimento consolidado do </w:t>
      </w:r>
      <w:r w:rsidRPr="006B1AE4">
        <w:rPr>
          <w:rFonts w:ascii="Courier New" w:hAnsi="Courier New" w:cs="Courier New"/>
          <w:b/>
          <w:bCs/>
          <w:sz w:val="22"/>
          <w:szCs w:val="22"/>
        </w:rPr>
        <w:t>Supremo Tribunal Federal no Tema 917 de Repercussão Geral</w:t>
      </w:r>
      <w:r w:rsidRPr="006B1AE4">
        <w:rPr>
          <w:rFonts w:ascii="Courier New" w:hAnsi="Courier New" w:cs="Courier New"/>
          <w:sz w:val="22"/>
          <w:szCs w:val="22"/>
        </w:rPr>
        <w:t>, não usurpa a competência do Executivo a lei que, embora crie despesa, não trata da estrutura ou atribuição de órgãos nem do regime jurídico de servidores</w:t>
      </w:r>
      <w:r w:rsidR="00AF4446">
        <w:rPr>
          <w:rFonts w:ascii="Courier New" w:hAnsi="Courier New" w:cs="Courier New"/>
          <w:sz w:val="22"/>
          <w:szCs w:val="22"/>
        </w:rPr>
        <w:t>:</w:t>
      </w:r>
    </w:p>
    <w:p w:rsidR="00AF4446" w:rsidP="006B1AE4" w14:paraId="2294F904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AF4446" w:rsidRPr="00FF0373" w:rsidP="00AF4446" w14:paraId="031C2EEF" w14:textId="77777777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BA52E0">
        <w:rPr>
          <w:rFonts w:ascii="Courier New" w:hAnsi="Courier New" w:cs="Courier New"/>
        </w:rPr>
        <w:t>CONSTITUCIONAL. ADMINISTRATIVO. LEI 10.961/92, DO ESTADO DE MINAS GERAIS. ESTATUTO DOS SERVIDORES ESTADUAIS. PREVISÃO DO INSTITUTO DO “ACESSO” A TÍTULO DE FASE DA CARREIRA, MAS VIABILIZANDO PROVIMENTO DERIVADO VERTICAL EM CARGO DE CARREIRA DIVERSA. INCONSTITUCIONALIDADE. 1. A Lei 10.961/92 do Estado de Minas Gerais autoriza que cargos sujeitos a preenchimento por concurso público sejam providos por “acesso”, ficando preferencialmente destinados a categoria de pretendentes que já possui vínculo com a Administração Estadual. Com tal destinação, o instituto do acesso é, portanto, incompatível com o princípio da ampla acessibilidade, preconizado pelo art. 37, II, da Constituição. Seguindo jurisprudência do STF em casos análogos, fica declarada a inconstitucionalidade do art. 27 e seus parágrafos 1º a 5º da Lei 10.961/92 do Estado de Minas Gerais. 2. Ação direta de inconstitucionalidade julgada procedente.</w:t>
      </w:r>
      <w:r>
        <w:rPr>
          <w:rFonts w:ascii="Courier New" w:hAnsi="Courier New" w:cs="Courier New"/>
        </w:rPr>
        <w:t xml:space="preserve"> </w:t>
      </w:r>
      <w:r w:rsidRPr="00BA52E0">
        <w:rPr>
          <w:rFonts w:ascii="Courier New" w:hAnsi="Courier New" w:cs="Courier New"/>
        </w:rPr>
        <w:t xml:space="preserve">(STF - ADI: 917 MG, Relator: MARCO AURÉLIO, Data de Julgamento: </w:t>
      </w:r>
      <w:r w:rsidRPr="00BA52E0">
        <w:rPr>
          <w:rFonts w:ascii="Courier New" w:hAnsi="Courier New" w:cs="Courier New"/>
        </w:rPr>
        <w:t>06/11/2013, Tribunal Pleno, Data de Publicação: 30/10/2014)</w:t>
      </w:r>
    </w:p>
    <w:p w:rsidR="00AF4446" w:rsidRPr="006B1AE4" w:rsidP="006B1AE4" w14:paraId="343319C1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6B1AE4" w:rsidRPr="006B1AE4" w:rsidP="006B1AE4" w14:paraId="7691BB60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6B1AE4">
        <w:rPr>
          <w:rFonts w:ascii="Courier New" w:hAnsi="Courier New" w:cs="Courier New"/>
          <w:sz w:val="22"/>
          <w:szCs w:val="22"/>
        </w:rPr>
        <w:t xml:space="preserve">Atende-se ao </w:t>
      </w:r>
      <w:r w:rsidRPr="006B1AE4">
        <w:rPr>
          <w:rFonts w:ascii="Courier New" w:hAnsi="Courier New" w:cs="Courier New"/>
          <w:b/>
          <w:bCs/>
          <w:sz w:val="22"/>
          <w:szCs w:val="22"/>
        </w:rPr>
        <w:t>Princípio da Separação de Poderes</w:t>
      </w:r>
      <w:r w:rsidRPr="006B1AE4">
        <w:rPr>
          <w:rFonts w:ascii="Courier New" w:hAnsi="Courier New" w:cs="Courier New"/>
          <w:sz w:val="22"/>
          <w:szCs w:val="22"/>
        </w:rPr>
        <w:t xml:space="preserve"> através da cláusula de reserva, respeitando a discricionariedade do Executivo na execução técnica, orientada pelo brocardo </w:t>
      </w:r>
      <w:r w:rsidRPr="006B1AE4">
        <w:rPr>
          <w:rFonts w:ascii="Courier New" w:hAnsi="Courier New" w:cs="Courier New"/>
          <w:i/>
          <w:iCs/>
          <w:sz w:val="22"/>
          <w:szCs w:val="22"/>
        </w:rPr>
        <w:t>argumentum</w:t>
      </w:r>
      <w:r w:rsidRPr="006B1AE4">
        <w:rPr>
          <w:rFonts w:ascii="Courier New" w:hAnsi="Courier New" w:cs="Courier New"/>
          <w:i/>
          <w:iCs/>
          <w:sz w:val="22"/>
          <w:szCs w:val="22"/>
        </w:rPr>
        <w:t xml:space="preserve"> a </w:t>
      </w:r>
      <w:r w:rsidRPr="006B1AE4">
        <w:rPr>
          <w:rFonts w:ascii="Courier New" w:hAnsi="Courier New" w:cs="Courier New"/>
          <w:i/>
          <w:iCs/>
          <w:sz w:val="22"/>
          <w:szCs w:val="22"/>
        </w:rPr>
        <w:t>maiori</w:t>
      </w:r>
      <w:r w:rsidRPr="006B1AE4">
        <w:rPr>
          <w:rFonts w:ascii="Courier New" w:hAnsi="Courier New" w:cs="Courier New"/>
          <w:i/>
          <w:iCs/>
          <w:sz w:val="22"/>
          <w:szCs w:val="22"/>
        </w:rPr>
        <w:t xml:space="preserve"> ad </w:t>
      </w:r>
      <w:r w:rsidRPr="006B1AE4">
        <w:rPr>
          <w:rFonts w:ascii="Courier New" w:hAnsi="Courier New" w:cs="Courier New"/>
          <w:i/>
          <w:iCs/>
          <w:sz w:val="22"/>
          <w:szCs w:val="22"/>
        </w:rPr>
        <w:t>minus</w:t>
      </w:r>
      <w:r w:rsidRPr="006B1AE4">
        <w:rPr>
          <w:rFonts w:ascii="Courier New" w:hAnsi="Courier New" w:cs="Courier New"/>
          <w:sz w:val="22"/>
          <w:szCs w:val="22"/>
        </w:rPr>
        <w:t>: se ao Legislativo cabe a aprovação do plano, incumbe-lhe, com maior razão, o aperfeiçoamento de suas diretrizes protetivas.</w:t>
      </w:r>
    </w:p>
    <w:p w:rsidR="00AF4446" w:rsidP="00AF4446" w14:paraId="02E17F8B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AF4446">
        <w:rPr>
          <w:rFonts w:ascii="Courier New" w:hAnsi="Courier New" w:cs="Courier New"/>
          <w:sz w:val="22"/>
          <w:szCs w:val="22"/>
        </w:rPr>
        <w:t xml:space="preserve">No que tange ao entendimento da doutrina especializada, </w:t>
      </w:r>
      <w:r w:rsidRPr="00AF4446">
        <w:rPr>
          <w:rFonts w:ascii="Courier New" w:hAnsi="Courier New" w:cs="Courier New"/>
          <w:b/>
          <w:bCs/>
          <w:sz w:val="22"/>
          <w:szCs w:val="22"/>
        </w:rPr>
        <w:t>Thiago Marrara</w:t>
      </w:r>
      <w:r w:rsidRPr="00AF4446">
        <w:rPr>
          <w:rFonts w:ascii="Courier New" w:hAnsi="Courier New" w:cs="Courier New"/>
          <w:sz w:val="22"/>
          <w:szCs w:val="22"/>
        </w:rPr>
        <w:t xml:space="preserve"> defende que o planejamento administrativo deve ser um método que orienta todas as ações estatais para oferecer direitos aos cidadãos, especialmente em uma "administração prestativa"</w:t>
      </w:r>
      <w:r>
        <w:rPr>
          <w:rFonts w:ascii="Courier New" w:hAnsi="Courier New" w:cs="Courier New"/>
          <w:sz w:val="22"/>
          <w:szCs w:val="22"/>
        </w:rPr>
        <w:t>:</w:t>
      </w:r>
    </w:p>
    <w:p w:rsidR="00AF4446" w:rsidP="00AF4446" w14:paraId="6F45639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AF4446" w:rsidRPr="00FF0373" w:rsidP="00AF4446" w14:paraId="35E04BE6" w14:textId="28A599FC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AF4446">
        <w:rPr>
          <w:rFonts w:ascii="Courier New" w:hAnsi="Courier New" w:cs="Courier New"/>
        </w:rPr>
        <w:t>"Se o Estado ocidental – de cunho racional, legalista e democrático – deve ser um Estado planejador de suas ações prestativas, restritivas ou interventivas, então não há como se conceber que o direito administrativo como direito da Administração Pública ignore o planejamento e seus resultados. Tal como o processo administrativo, o ato administrativo e o contrato administrativo, o planejamento se insere nas formas de atuação do Estado quer para restringir a vida dos cidadãos com base em um interesse público maior (‘administração restritiva’), quer para oferecer comodidades aos cidadãos (‘administração prestativa’)."</w:t>
      </w:r>
      <w:r>
        <w:rPr>
          <w:rFonts w:ascii="Courier New" w:hAnsi="Courier New" w:cs="Courier New"/>
        </w:rPr>
        <w:t xml:space="preserve"> (</w:t>
      </w:r>
      <w:r w:rsidRPr="00AF4446">
        <w:rPr>
          <w:rFonts w:ascii="Courier New" w:hAnsi="Courier New" w:cs="Courier New"/>
        </w:rPr>
        <w:t>MARRARA, Thiago. Manual de Direito Administrativo. v. 2. 5. ed. Indaiatuba: Editora Foco, 2025</w:t>
      </w:r>
      <w:r>
        <w:rPr>
          <w:rFonts w:ascii="Courier New" w:hAnsi="Courier New" w:cs="Courier New"/>
        </w:rPr>
        <w:t>).</w:t>
      </w:r>
    </w:p>
    <w:p w:rsidR="00AF4446" w:rsidP="00AF4446" w14:paraId="531FD392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AF4446" w:rsidP="00AF4446" w14:paraId="2F1FE5F6" w14:textId="4FD25366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AF4446">
        <w:rPr>
          <w:rFonts w:ascii="Courier New" w:hAnsi="Courier New" w:cs="Courier New"/>
          <w:sz w:val="22"/>
          <w:szCs w:val="22"/>
        </w:rPr>
        <w:t xml:space="preserve">Em harmonia, </w:t>
      </w:r>
      <w:r w:rsidRPr="00AF4446">
        <w:rPr>
          <w:rFonts w:ascii="Courier New" w:hAnsi="Courier New" w:cs="Courier New"/>
          <w:b/>
          <w:bCs/>
          <w:sz w:val="22"/>
          <w:szCs w:val="22"/>
        </w:rPr>
        <w:t>Paulo Roberto de Figueiredo Dantas</w:t>
      </w:r>
      <w:r w:rsidRPr="00AF4446">
        <w:rPr>
          <w:rFonts w:ascii="Courier New" w:hAnsi="Courier New" w:cs="Courier New"/>
          <w:sz w:val="22"/>
          <w:szCs w:val="22"/>
        </w:rPr>
        <w:t xml:space="preserve"> destaca que os direitos sociais e a dignidade da pessoa humana exigem que o Estado coloque em prática políticas públicas concretas, e que o orçamento deve prever recursos para essa implementação</w:t>
      </w:r>
      <w:r>
        <w:rPr>
          <w:rFonts w:ascii="Courier New" w:hAnsi="Courier New" w:cs="Courier New"/>
          <w:sz w:val="22"/>
          <w:szCs w:val="22"/>
        </w:rPr>
        <w:t>:</w:t>
      </w:r>
    </w:p>
    <w:p w:rsidR="00AF4446" w:rsidP="00AF4446" w14:paraId="3A82C1A5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AF4446" w:rsidRPr="00FF0373" w:rsidP="00AF4446" w14:paraId="20791088" w14:textId="53FC60BA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</w:rPr>
      </w:pPr>
      <w:r w:rsidRPr="00AF4446">
        <w:rPr>
          <w:rFonts w:ascii="Courier New" w:hAnsi="Courier New" w:cs="Courier New"/>
        </w:rPr>
        <w:t>"Ademais, também será possível falar-se na propositura de ação civil pública, pelos seus diversos legitimados, para compelir o Poder Público a colocar em prática políticas públicas que garantam o gozo daqueles direitos, notadamente naqueles casos em que a própria Carta Magna ou a lei impõe a aplicação de certos percentuais de receitas tributárias na consecução daqueles fins, ou quando houver previsão orçamentária para a sua implementação."</w:t>
      </w:r>
      <w:r>
        <w:rPr>
          <w:rFonts w:ascii="Courier New" w:hAnsi="Courier New" w:cs="Courier New"/>
        </w:rPr>
        <w:t xml:space="preserve"> (</w:t>
      </w:r>
      <w:r w:rsidRPr="00AF4446">
        <w:rPr>
          <w:rFonts w:ascii="Courier New" w:hAnsi="Courier New" w:cs="Courier New"/>
        </w:rPr>
        <w:t>DANTAS, Paulo Roberto de Figueiredo. Curso de Direito Constitucional. 8. ed. Indaiatuba: Editora Foco, 2025</w:t>
      </w:r>
      <w:r>
        <w:rPr>
          <w:rFonts w:ascii="Courier New" w:hAnsi="Courier New" w:cs="Courier New"/>
        </w:rPr>
        <w:t>).</w:t>
      </w:r>
    </w:p>
    <w:p w:rsidR="00AF4446" w:rsidRPr="00AF4446" w:rsidP="00AF4446" w14:paraId="03623EFD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8B64C1" w:rsidP="002150D7" w14:paraId="0DC679F9" w14:textId="0080D944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AF4446">
        <w:rPr>
          <w:rFonts w:ascii="Courier New" w:hAnsi="Courier New" w:cs="Courier New"/>
          <w:sz w:val="22"/>
          <w:szCs w:val="22"/>
        </w:rPr>
        <w:t>Pelo exposto, acreditando na humanidade existente em cada Edil e que, de fato, se importam com a vida e a segurança das mulheres de Mogi Mirim, submetemos esta emenda à apreciação dos nobres pares.</w:t>
      </w:r>
    </w:p>
    <w:sectPr w:rsidSect="00701315">
      <w:type w:val="continuous"/>
      <w:pgSz w:w="11906" w:h="16838" w:code="9"/>
      <w:pgMar w:top="1985" w:right="1134" w:bottom="851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AE21BC" w:rsidRPr="00AE21BC" w:rsidP="00962D1C" w14:paraId="40B3ED97" w14:textId="7D51268C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0"/>
                <w:szCs w:val="10"/>
              </w:rPr>
            </w:pPr>
          </w:p>
          <w:p w:rsidR="00245209" w:rsidRPr="00962D1C" w:rsidP="00962D1C" w14:paraId="6F3CD22F" w14:textId="25C2E410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5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6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5092326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328C0" w14:paraId="7DDE50C6" w14:textId="77777777">
      <w:r>
        <w:separator/>
      </w:r>
    </w:p>
  </w:footnote>
  <w:footnote w:type="continuationSeparator" w:id="1">
    <w:p w:rsidR="00F328C0" w14:paraId="707B5B57" w14:textId="77777777">
      <w:r>
        <w:continuationSeparator/>
      </w:r>
    </w:p>
  </w:footnote>
  <w:footnote w:id="2">
    <w:p w:rsidR="006B1AE4" w:rsidRPr="0038726B" w:rsidP="006B1AE4" w14:paraId="0C4B8E43" w14:textId="77777777">
      <w:pPr>
        <w:pStyle w:val="FootnoteText"/>
        <w:jc w:val="both"/>
        <w:rPr>
          <w:rFonts w:ascii="Courier New" w:hAnsi="Courier New" w:cs="Courier New"/>
          <w:sz w:val="16"/>
          <w:szCs w:val="16"/>
        </w:rPr>
      </w:pPr>
      <w:r w:rsidRPr="0038726B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38726B">
        <w:rPr>
          <w:rFonts w:ascii="Courier New" w:hAnsi="Courier New" w:cs="Courier New"/>
          <w:sz w:val="16"/>
          <w:szCs w:val="16"/>
        </w:rPr>
        <w:t xml:space="preserve"> https://bit.ly/4cv4Y3V</w:t>
      </w:r>
    </w:p>
  </w:footnote>
  <w:footnote w:id="3">
    <w:p w:rsidR="006B1AE4" w:rsidRPr="0038726B" w:rsidP="006B1AE4" w14:paraId="499D626D" w14:textId="77777777">
      <w:pPr>
        <w:pStyle w:val="FootnoteText"/>
        <w:jc w:val="both"/>
        <w:rPr>
          <w:rFonts w:ascii="Courier New" w:hAnsi="Courier New" w:cs="Courier New"/>
          <w:sz w:val="16"/>
          <w:szCs w:val="16"/>
        </w:rPr>
      </w:pPr>
      <w:r w:rsidRPr="0038726B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38726B">
        <w:rPr>
          <w:rFonts w:ascii="Courier New" w:hAnsi="Courier New" w:cs="Courier New"/>
          <w:sz w:val="16"/>
          <w:szCs w:val="16"/>
        </w:rPr>
        <w:t xml:space="preserve"> https://bit.ly/4cIO9SS</w:t>
      </w:r>
    </w:p>
  </w:footnote>
  <w:footnote w:id="4">
    <w:p w:rsidR="006B1AE4" w:rsidRPr="0038726B" w:rsidP="006B1AE4" w14:paraId="35D5D161" w14:textId="77777777">
      <w:pPr>
        <w:pStyle w:val="FootnoteText"/>
        <w:jc w:val="both"/>
        <w:rPr>
          <w:rFonts w:ascii="Courier New" w:hAnsi="Courier New" w:cs="Courier New"/>
          <w:sz w:val="16"/>
          <w:szCs w:val="16"/>
        </w:rPr>
      </w:pPr>
      <w:r w:rsidRPr="0038726B">
        <w:rPr>
          <w:rStyle w:val="FootnoteReference"/>
          <w:rFonts w:ascii="Courier New" w:hAnsi="Courier New" w:cs="Courier New"/>
          <w:sz w:val="16"/>
          <w:szCs w:val="16"/>
        </w:rPr>
        <w:footnoteRef/>
      </w:r>
      <w:r w:rsidRPr="0038726B">
        <w:rPr>
          <w:rFonts w:ascii="Courier New" w:hAnsi="Courier New" w:cs="Courier New"/>
          <w:sz w:val="16"/>
          <w:szCs w:val="16"/>
        </w:rPr>
        <w:t xml:space="preserve"> https://bit.ly/4cv5DCr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2113146236" name="Imagem 211314623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A31EB"/>
    <w:multiLevelType w:val="hybridMultilevel"/>
    <w:tmpl w:val="9BFED688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878219D"/>
    <w:multiLevelType w:val="hybridMultilevel"/>
    <w:tmpl w:val="7234C3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5F4B6E"/>
    <w:multiLevelType w:val="hybridMultilevel"/>
    <w:tmpl w:val="FF5AD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7F2C01"/>
    <w:multiLevelType w:val="hybridMultilevel"/>
    <w:tmpl w:val="B4384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A132C"/>
    <w:multiLevelType w:val="hybridMultilevel"/>
    <w:tmpl w:val="51708C4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10A9F"/>
    <w:rsid w:val="000155A8"/>
    <w:rsid w:val="00031FEB"/>
    <w:rsid w:val="00037523"/>
    <w:rsid w:val="000401AF"/>
    <w:rsid w:val="00040D21"/>
    <w:rsid w:val="000428DB"/>
    <w:rsid w:val="0005451B"/>
    <w:rsid w:val="00056D9C"/>
    <w:rsid w:val="00076553"/>
    <w:rsid w:val="000B4EDA"/>
    <w:rsid w:val="000B5735"/>
    <w:rsid w:val="000E658D"/>
    <w:rsid w:val="000F672F"/>
    <w:rsid w:val="00105020"/>
    <w:rsid w:val="00106142"/>
    <w:rsid w:val="00124163"/>
    <w:rsid w:val="001277C1"/>
    <w:rsid w:val="00153665"/>
    <w:rsid w:val="00156CD3"/>
    <w:rsid w:val="00156E23"/>
    <w:rsid w:val="001610A9"/>
    <w:rsid w:val="00176E7E"/>
    <w:rsid w:val="00182771"/>
    <w:rsid w:val="00183AF0"/>
    <w:rsid w:val="001949B0"/>
    <w:rsid w:val="001959EF"/>
    <w:rsid w:val="001A39DE"/>
    <w:rsid w:val="001A6FF7"/>
    <w:rsid w:val="001B42BA"/>
    <w:rsid w:val="001C3AA6"/>
    <w:rsid w:val="00200F1C"/>
    <w:rsid w:val="002150D7"/>
    <w:rsid w:val="00241452"/>
    <w:rsid w:val="0024425A"/>
    <w:rsid w:val="00245209"/>
    <w:rsid w:val="00257241"/>
    <w:rsid w:val="0027575E"/>
    <w:rsid w:val="00296637"/>
    <w:rsid w:val="00296EA6"/>
    <w:rsid w:val="002B572E"/>
    <w:rsid w:val="002C14C0"/>
    <w:rsid w:val="002C4498"/>
    <w:rsid w:val="002C7885"/>
    <w:rsid w:val="002D25FF"/>
    <w:rsid w:val="002D2C82"/>
    <w:rsid w:val="002D68CE"/>
    <w:rsid w:val="002F169E"/>
    <w:rsid w:val="002F76C7"/>
    <w:rsid w:val="00307AFD"/>
    <w:rsid w:val="003226F4"/>
    <w:rsid w:val="00327030"/>
    <w:rsid w:val="003274BA"/>
    <w:rsid w:val="00332D04"/>
    <w:rsid w:val="00345B10"/>
    <w:rsid w:val="0035352F"/>
    <w:rsid w:val="0035370A"/>
    <w:rsid w:val="00355277"/>
    <w:rsid w:val="00374AF7"/>
    <w:rsid w:val="00386202"/>
    <w:rsid w:val="0038726B"/>
    <w:rsid w:val="003A0C73"/>
    <w:rsid w:val="003C0F80"/>
    <w:rsid w:val="003C4623"/>
    <w:rsid w:val="003E0416"/>
    <w:rsid w:val="00401038"/>
    <w:rsid w:val="00402140"/>
    <w:rsid w:val="00417F20"/>
    <w:rsid w:val="00426E1A"/>
    <w:rsid w:val="00452524"/>
    <w:rsid w:val="004622A3"/>
    <w:rsid w:val="00465074"/>
    <w:rsid w:val="00466795"/>
    <w:rsid w:val="00481B75"/>
    <w:rsid w:val="004C4CD8"/>
    <w:rsid w:val="004C7ED8"/>
    <w:rsid w:val="004D0063"/>
    <w:rsid w:val="004E4ADA"/>
    <w:rsid w:val="004E6D12"/>
    <w:rsid w:val="004F1BCE"/>
    <w:rsid w:val="004F7A40"/>
    <w:rsid w:val="00507EC7"/>
    <w:rsid w:val="00510DC1"/>
    <w:rsid w:val="00521BE4"/>
    <w:rsid w:val="00537FEA"/>
    <w:rsid w:val="00564B9E"/>
    <w:rsid w:val="0057381F"/>
    <w:rsid w:val="0059377F"/>
    <w:rsid w:val="005C5121"/>
    <w:rsid w:val="005C6DDC"/>
    <w:rsid w:val="005D014E"/>
    <w:rsid w:val="005D1A64"/>
    <w:rsid w:val="005E33D2"/>
    <w:rsid w:val="005F4015"/>
    <w:rsid w:val="005F4D88"/>
    <w:rsid w:val="0060310E"/>
    <w:rsid w:val="00605473"/>
    <w:rsid w:val="00612EC2"/>
    <w:rsid w:val="006267C8"/>
    <w:rsid w:val="006319D1"/>
    <w:rsid w:val="00634822"/>
    <w:rsid w:val="00634D61"/>
    <w:rsid w:val="0063784A"/>
    <w:rsid w:val="00657DB6"/>
    <w:rsid w:val="0066388F"/>
    <w:rsid w:val="0068334C"/>
    <w:rsid w:val="0068590A"/>
    <w:rsid w:val="0069350C"/>
    <w:rsid w:val="006B1AE4"/>
    <w:rsid w:val="006B2CD0"/>
    <w:rsid w:val="006B701B"/>
    <w:rsid w:val="006C3627"/>
    <w:rsid w:val="006C51EA"/>
    <w:rsid w:val="006D01AE"/>
    <w:rsid w:val="006D31CD"/>
    <w:rsid w:val="006D56EE"/>
    <w:rsid w:val="006E31FD"/>
    <w:rsid w:val="006F1586"/>
    <w:rsid w:val="006F3588"/>
    <w:rsid w:val="00701315"/>
    <w:rsid w:val="00704898"/>
    <w:rsid w:val="00720772"/>
    <w:rsid w:val="007214E8"/>
    <w:rsid w:val="007256BA"/>
    <w:rsid w:val="00727359"/>
    <w:rsid w:val="00744EB9"/>
    <w:rsid w:val="00744EFF"/>
    <w:rsid w:val="00747418"/>
    <w:rsid w:val="00747F3E"/>
    <w:rsid w:val="00750F1C"/>
    <w:rsid w:val="007571D2"/>
    <w:rsid w:val="007621F4"/>
    <w:rsid w:val="00784130"/>
    <w:rsid w:val="007851AB"/>
    <w:rsid w:val="0078781A"/>
    <w:rsid w:val="00792F39"/>
    <w:rsid w:val="007A3234"/>
    <w:rsid w:val="007A702D"/>
    <w:rsid w:val="007C7F52"/>
    <w:rsid w:val="007E3DC3"/>
    <w:rsid w:val="007F5BB3"/>
    <w:rsid w:val="007F5C92"/>
    <w:rsid w:val="007F648B"/>
    <w:rsid w:val="008060C7"/>
    <w:rsid w:val="00806639"/>
    <w:rsid w:val="00815F08"/>
    <w:rsid w:val="008252BC"/>
    <w:rsid w:val="00826BB5"/>
    <w:rsid w:val="00841A62"/>
    <w:rsid w:val="0084452E"/>
    <w:rsid w:val="0087229F"/>
    <w:rsid w:val="008844E4"/>
    <w:rsid w:val="00891B93"/>
    <w:rsid w:val="008A0234"/>
    <w:rsid w:val="008A26DA"/>
    <w:rsid w:val="008A7123"/>
    <w:rsid w:val="008B64C1"/>
    <w:rsid w:val="008C2FCC"/>
    <w:rsid w:val="008C42BB"/>
    <w:rsid w:val="008D0052"/>
    <w:rsid w:val="008D10B2"/>
    <w:rsid w:val="008E2705"/>
    <w:rsid w:val="00923162"/>
    <w:rsid w:val="009269AB"/>
    <w:rsid w:val="0094153C"/>
    <w:rsid w:val="00946A63"/>
    <w:rsid w:val="00954EDC"/>
    <w:rsid w:val="00962D1C"/>
    <w:rsid w:val="00976B27"/>
    <w:rsid w:val="00986774"/>
    <w:rsid w:val="00991752"/>
    <w:rsid w:val="009974FC"/>
    <w:rsid w:val="009A34E3"/>
    <w:rsid w:val="009B5BE4"/>
    <w:rsid w:val="009F6628"/>
    <w:rsid w:val="00A164B8"/>
    <w:rsid w:val="00A23C0E"/>
    <w:rsid w:val="00A331D9"/>
    <w:rsid w:val="00A42886"/>
    <w:rsid w:val="00A442EC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148D"/>
    <w:rsid w:val="00AA44DC"/>
    <w:rsid w:val="00AB501C"/>
    <w:rsid w:val="00AC2F36"/>
    <w:rsid w:val="00AC39E3"/>
    <w:rsid w:val="00AC48D4"/>
    <w:rsid w:val="00AC4BBE"/>
    <w:rsid w:val="00AD4535"/>
    <w:rsid w:val="00AE21BC"/>
    <w:rsid w:val="00AE6E36"/>
    <w:rsid w:val="00AF2404"/>
    <w:rsid w:val="00AF4446"/>
    <w:rsid w:val="00B11CFB"/>
    <w:rsid w:val="00B1217C"/>
    <w:rsid w:val="00B24068"/>
    <w:rsid w:val="00B244CB"/>
    <w:rsid w:val="00B30920"/>
    <w:rsid w:val="00B36175"/>
    <w:rsid w:val="00B41012"/>
    <w:rsid w:val="00B57E9C"/>
    <w:rsid w:val="00B61FB6"/>
    <w:rsid w:val="00B62CC6"/>
    <w:rsid w:val="00B638BB"/>
    <w:rsid w:val="00B75636"/>
    <w:rsid w:val="00B859E6"/>
    <w:rsid w:val="00B85B25"/>
    <w:rsid w:val="00B90DF4"/>
    <w:rsid w:val="00B97728"/>
    <w:rsid w:val="00BA52E0"/>
    <w:rsid w:val="00BD12F2"/>
    <w:rsid w:val="00BD21C3"/>
    <w:rsid w:val="00BE07EE"/>
    <w:rsid w:val="00BE3319"/>
    <w:rsid w:val="00BE50D2"/>
    <w:rsid w:val="00C04FE4"/>
    <w:rsid w:val="00C06C42"/>
    <w:rsid w:val="00C174B3"/>
    <w:rsid w:val="00C211AD"/>
    <w:rsid w:val="00C2517C"/>
    <w:rsid w:val="00C27C97"/>
    <w:rsid w:val="00C31D75"/>
    <w:rsid w:val="00C372C4"/>
    <w:rsid w:val="00C41F1E"/>
    <w:rsid w:val="00C421B1"/>
    <w:rsid w:val="00C60FDE"/>
    <w:rsid w:val="00C73C43"/>
    <w:rsid w:val="00C93A58"/>
    <w:rsid w:val="00C93D77"/>
    <w:rsid w:val="00C95BB4"/>
    <w:rsid w:val="00CA4CE7"/>
    <w:rsid w:val="00CC385D"/>
    <w:rsid w:val="00CC4ACB"/>
    <w:rsid w:val="00CD7AA0"/>
    <w:rsid w:val="00CF4DAC"/>
    <w:rsid w:val="00D00307"/>
    <w:rsid w:val="00D168E9"/>
    <w:rsid w:val="00D208C4"/>
    <w:rsid w:val="00D30EC1"/>
    <w:rsid w:val="00D33B3A"/>
    <w:rsid w:val="00D34085"/>
    <w:rsid w:val="00D464E5"/>
    <w:rsid w:val="00D550D7"/>
    <w:rsid w:val="00D64727"/>
    <w:rsid w:val="00D706B5"/>
    <w:rsid w:val="00D73096"/>
    <w:rsid w:val="00D80661"/>
    <w:rsid w:val="00D878CD"/>
    <w:rsid w:val="00DA1EBB"/>
    <w:rsid w:val="00DC0E98"/>
    <w:rsid w:val="00DD1C8A"/>
    <w:rsid w:val="00DD1D31"/>
    <w:rsid w:val="00DD36B8"/>
    <w:rsid w:val="00DD547B"/>
    <w:rsid w:val="00DD6EBC"/>
    <w:rsid w:val="00DF1018"/>
    <w:rsid w:val="00DF249B"/>
    <w:rsid w:val="00E144CB"/>
    <w:rsid w:val="00E14DC4"/>
    <w:rsid w:val="00E26DB0"/>
    <w:rsid w:val="00E313E0"/>
    <w:rsid w:val="00E44090"/>
    <w:rsid w:val="00E4672A"/>
    <w:rsid w:val="00E46ECB"/>
    <w:rsid w:val="00E52FF0"/>
    <w:rsid w:val="00E66BA2"/>
    <w:rsid w:val="00E76B17"/>
    <w:rsid w:val="00E86F30"/>
    <w:rsid w:val="00E96597"/>
    <w:rsid w:val="00EA5CF5"/>
    <w:rsid w:val="00EB5B27"/>
    <w:rsid w:val="00EB727B"/>
    <w:rsid w:val="00EE21B7"/>
    <w:rsid w:val="00EE29C1"/>
    <w:rsid w:val="00EF46EB"/>
    <w:rsid w:val="00F328C0"/>
    <w:rsid w:val="00F3579D"/>
    <w:rsid w:val="00F41235"/>
    <w:rsid w:val="00F518ED"/>
    <w:rsid w:val="00F554E4"/>
    <w:rsid w:val="00F65A30"/>
    <w:rsid w:val="00F87F27"/>
    <w:rsid w:val="00FA5381"/>
    <w:rsid w:val="00FB3B48"/>
    <w:rsid w:val="00FC3520"/>
    <w:rsid w:val="00FC7119"/>
    <w:rsid w:val="00FF0373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44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229F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22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B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6</Pages>
  <Words>1848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54</cp:revision>
  <cp:lastPrinted>2026-05-19T19:25:47Z</cp:lastPrinted>
  <dcterms:created xsi:type="dcterms:W3CDTF">2026-01-09T01:35:00Z</dcterms:created>
  <dcterms:modified xsi:type="dcterms:W3CDTF">2026-05-19T19:04:00Z</dcterms:modified>
</cp:coreProperties>
</file>