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362255"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362255">
        <w:rPr>
          <w:rFonts w:ascii="Courier New" w:hAnsi="Courier New" w:cs="Courier New"/>
          <w:b/>
          <w:bCs/>
          <w:kern w:val="3"/>
          <w:sz w:val="24"/>
          <w:szCs w:val="24"/>
        </w:rPr>
        <w:t>Emenda Nº 11 ao Projeto de Lei Nº 48/2026</w:t>
      </w:r>
      <w:r w:rsidRPr="00362255">
        <w:rPr>
          <w:rFonts w:ascii="Courier New" w:hAnsi="Courier New" w:cs="Courier New"/>
          <w:b/>
          <w:bCs/>
          <w:kern w:val="3"/>
          <w:sz w:val="24"/>
          <w:szCs w:val="24"/>
        </w:rPr>
        <w:t>Emenda Nº 11 ao Projeto de Lei Nº 48/2026</w:t>
      </w:r>
    </w:p>
    <w:p w:rsidR="00DF1018" w:rsidRPr="00362255"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C93D77" w:rsidRPr="00362255" w:rsidP="00C93D77" w14:paraId="39877184" w14:textId="77777777">
      <w:pPr>
        <w:overflowPunct w:val="0"/>
        <w:autoSpaceDN w:val="0"/>
        <w:spacing w:before="120" w:after="120" w:line="276" w:lineRule="auto"/>
        <w:jc w:val="right"/>
        <w:rPr>
          <w:rFonts w:ascii="Courier New" w:hAnsi="Courier New" w:cs="Courier New"/>
          <w:i/>
          <w:iCs/>
          <w:kern w:val="3"/>
          <w:sz w:val="22"/>
          <w:szCs w:val="22"/>
        </w:rPr>
      </w:pPr>
      <w:r w:rsidRPr="00362255">
        <w:rPr>
          <w:rFonts w:ascii="Courier New" w:hAnsi="Courier New" w:cs="Courier New"/>
          <w:i/>
          <w:iCs/>
          <w:kern w:val="3"/>
          <w:sz w:val="22"/>
          <w:szCs w:val="22"/>
        </w:rPr>
        <w:t>(EMENDA MODIFICATIVA AO PROJETO DE LEI Nº 48/2026)</w:t>
      </w:r>
    </w:p>
    <w:p w:rsidR="00C93D77" w:rsidRPr="00362255" w:rsidP="00C93D77" w14:paraId="1C1A9C23" w14:textId="77777777">
      <w:pPr>
        <w:overflowPunct w:val="0"/>
        <w:autoSpaceDN w:val="0"/>
        <w:spacing w:before="120" w:after="120" w:line="276" w:lineRule="auto"/>
        <w:jc w:val="both"/>
        <w:rPr>
          <w:rFonts w:ascii="Courier New" w:hAnsi="Courier New" w:cs="Courier New"/>
          <w:kern w:val="3"/>
          <w:sz w:val="22"/>
          <w:szCs w:val="22"/>
        </w:rPr>
      </w:pPr>
    </w:p>
    <w:p w:rsidR="00C93D77" w:rsidRPr="00362255" w:rsidP="00C93D77" w14:paraId="43E4B39F" w14:textId="77777777">
      <w:pPr>
        <w:spacing w:before="120" w:after="120" w:line="276" w:lineRule="auto"/>
        <w:ind w:firstLine="708"/>
        <w:jc w:val="both"/>
        <w:rPr>
          <w:rFonts w:ascii="Courier New" w:hAnsi="Courier New" w:cs="Courier New"/>
          <w:sz w:val="22"/>
          <w:szCs w:val="22"/>
        </w:rPr>
      </w:pPr>
      <w:r w:rsidRPr="00362255">
        <w:rPr>
          <w:rFonts w:ascii="Courier New" w:hAnsi="Courier New" w:cs="Courier New"/>
          <w:sz w:val="22"/>
          <w:szCs w:val="22"/>
        </w:rPr>
        <w:t>Modifica valores no Anexo VI do Projeto de Lei nº 48 de 2026, que estabelece as Diretrizes Orçamentárias do Município de Mogi Mirim para o exercício de 2026, passando a ter a seguinte redação:</w:t>
      </w:r>
    </w:p>
    <w:p w:rsidR="00C93D77" w:rsidRPr="00362255" w:rsidP="00C93D77" w14:paraId="37CBAA7C" w14:textId="77777777">
      <w:pPr>
        <w:spacing w:before="120" w:after="120" w:line="276" w:lineRule="auto"/>
        <w:ind w:firstLine="708"/>
        <w:jc w:val="both"/>
        <w:rPr>
          <w:rFonts w:ascii="Courier New" w:hAnsi="Courier New" w:cs="Courier New"/>
          <w:sz w:val="22"/>
          <w:szCs w:val="22"/>
        </w:rPr>
      </w:pPr>
    </w:p>
    <w:p w:rsidR="00C93D77" w:rsidRPr="00362255" w:rsidP="00C93D77" w14:paraId="1B583B14" w14:textId="64F846B1">
      <w:pPr>
        <w:spacing w:before="120" w:after="120" w:line="276" w:lineRule="auto"/>
        <w:jc w:val="both"/>
        <w:rPr>
          <w:rFonts w:ascii="Courier New" w:hAnsi="Courier New" w:cs="Courier New"/>
          <w:sz w:val="22"/>
          <w:szCs w:val="22"/>
        </w:rPr>
      </w:pPr>
      <w:r w:rsidRPr="00362255">
        <w:rPr>
          <w:rFonts w:ascii="Courier New" w:hAnsi="Courier New" w:cs="Courier New"/>
          <w:sz w:val="22"/>
          <w:szCs w:val="22"/>
        </w:rPr>
        <w:t>“</w:t>
      </w:r>
      <w:r w:rsidRPr="00362255">
        <w:rPr>
          <w:rFonts w:ascii="Courier New" w:hAnsi="Courier New" w:cs="Courier New"/>
          <w:b/>
          <w:bCs/>
          <w:sz w:val="22"/>
          <w:szCs w:val="22"/>
        </w:rPr>
        <w:t>Art. 1º</w:t>
      </w:r>
      <w:r w:rsidRPr="00362255">
        <w:rPr>
          <w:rFonts w:ascii="Courier New" w:hAnsi="Courier New" w:cs="Courier New"/>
          <w:sz w:val="22"/>
          <w:szCs w:val="22"/>
        </w:rPr>
        <w:t xml:space="preserve"> No Anexo VI – Unidades Executoras e Ações, ficam alteradas as dotações conforme seguem:</w:t>
      </w:r>
    </w:p>
    <w:p w:rsidR="00C93D77" w:rsidRPr="00362255" w:rsidP="00C93D77" w14:paraId="366041AA" w14:textId="11671904">
      <w:pPr>
        <w:spacing w:before="120" w:after="120" w:line="276" w:lineRule="auto"/>
        <w:jc w:val="both"/>
        <w:rPr>
          <w:rFonts w:ascii="Courier New" w:hAnsi="Courier New" w:cs="Courier New"/>
          <w:sz w:val="22"/>
          <w:szCs w:val="22"/>
        </w:rPr>
      </w:pPr>
      <w:r w:rsidRPr="00362255">
        <w:rPr>
          <w:rFonts w:ascii="Courier New" w:hAnsi="Courier New" w:cs="Courier New"/>
          <w:noProof/>
          <w:sz w:val="22"/>
          <w:szCs w:val="22"/>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2851785</wp:posOffset>
                </wp:positionH>
                <wp:positionV relativeFrom="paragraph">
                  <wp:posOffset>210185</wp:posOffset>
                </wp:positionV>
                <wp:extent cx="0" cy="3063240"/>
                <wp:effectExtent l="0" t="0" r="38100" b="22860"/>
                <wp:wrapNone/>
                <wp:docPr id="510777650" name="Conector reto 2"/>
                <wp:cNvGraphicFramePr/>
                <a:graphic xmlns:a="http://schemas.openxmlformats.org/drawingml/2006/main">
                  <a:graphicData uri="http://schemas.microsoft.com/office/word/2010/wordprocessingShape">
                    <wps:wsp xmlns:wps="http://schemas.microsoft.com/office/word/2010/wordprocessingShape">
                      <wps:cNvCnPr/>
                      <wps:spPr>
                        <a:xfrm>
                          <a:off x="0" y="0"/>
                          <a:ext cx="0" cy="306324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5" style="mso-height-percent:0;mso-height-relative:margin;mso-width-percent:0;mso-width-relative:margin;mso-wrap-distance-bottom:0;mso-wrap-distance-left:9pt;mso-wrap-distance-right:9pt;mso-wrap-distance-top:0;mso-wrap-style:square;position:absolute;visibility:visible;z-index:251661312" from="224.55pt,16.55pt" to="224.55pt,257.75pt" strokecolor="#c00000" strokeweight="1pt">
                <v:stroke joinstyle="miter"/>
              </v:line>
            </w:pict>
          </mc:Fallback>
        </mc:AlternateContent>
      </w:r>
      <w:r w:rsidRPr="00362255">
        <w:rPr>
          <w:rFonts w:ascii="Courier New" w:hAnsi="Courier New" w:cs="Courier New"/>
          <w:noProof/>
          <w:sz w:val="22"/>
          <w:szCs w:val="22"/>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-97155</wp:posOffset>
                </wp:positionH>
                <wp:positionV relativeFrom="paragraph">
                  <wp:posOffset>202565</wp:posOffset>
                </wp:positionV>
                <wp:extent cx="5917565" cy="3070860"/>
                <wp:effectExtent l="0" t="0" r="26035" b="15240"/>
                <wp:wrapNone/>
                <wp:docPr id="1390231002"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5917565" cy="307086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1" o:spid="_x0000_s1026" style="width:465.95pt;height:241.8pt;margin-top:15.95pt;margin-left:-7.65pt;mso-height-percent:0;mso-height-relative:margin;mso-wrap-distance-bottom:0;mso-wrap-distance-left:9pt;mso-wrap-distance-right:9pt;mso-wrap-distance-top:0;mso-wrap-style:square;position:absolute;visibility:visible;v-text-anchor:middle;z-index:251659264" filled="f" strokecolor="#c00000" strokeweight="1pt"/>
            </w:pict>
          </mc:Fallback>
        </mc:AlternateContent>
      </w:r>
    </w:p>
    <w:p w:rsidR="00701315" w:rsidRPr="00362255" w:rsidP="00C93D77" w14:paraId="41984ED3" w14:textId="77777777">
      <w:pPr>
        <w:spacing w:before="120" w:after="120" w:line="276" w:lineRule="auto"/>
        <w:jc w:val="both"/>
        <w:rPr>
          <w:rFonts w:ascii="Courier New" w:hAnsi="Courier New" w:cs="Courier New"/>
          <w:b/>
          <w:bCs/>
          <w:sz w:val="22"/>
          <w:szCs w:val="22"/>
        </w:rPr>
        <w:sectPr w:rsidSect="00AE21BC">
          <w:headerReference w:type="default" r:id="rId5"/>
          <w:footerReference w:type="default" r:id="rId6"/>
          <w:pgSz w:w="11906" w:h="16838" w:code="9"/>
          <w:pgMar w:top="1985" w:right="1134" w:bottom="851" w:left="1701" w:header="680" w:footer="284" w:gutter="0"/>
          <w:pgNumType w:start="1"/>
          <w:cols w:space="720"/>
          <w:docGrid w:linePitch="360"/>
        </w:sectPr>
      </w:pPr>
    </w:p>
    <w:p w:rsidR="00C93D77" w:rsidRPr="00362255" w:rsidP="00362255" w14:paraId="06D92CEC" w14:textId="77777777">
      <w:pPr>
        <w:spacing w:before="120" w:after="120"/>
        <w:ind w:left="284" w:hanging="284"/>
        <w:jc w:val="both"/>
        <w:rPr>
          <w:rFonts w:ascii="Courier New" w:hAnsi="Courier New" w:cs="Courier New"/>
          <w:b/>
          <w:bCs/>
          <w:sz w:val="22"/>
          <w:szCs w:val="22"/>
        </w:rPr>
      </w:pPr>
      <w:r w:rsidRPr="00362255">
        <w:rPr>
          <w:rFonts w:ascii="Courier New" w:hAnsi="Courier New" w:cs="Courier New"/>
          <w:b/>
          <w:bCs/>
          <w:sz w:val="22"/>
          <w:szCs w:val="22"/>
        </w:rPr>
        <w:t>ONDE SE LÊ:</w:t>
      </w:r>
    </w:p>
    <w:p w:rsidR="00362255" w:rsidRPr="00362255" w:rsidP="00362255" w14:paraId="3EC59018"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Função: 10 – Saúde</w:t>
      </w:r>
    </w:p>
    <w:p w:rsidR="00362255" w:rsidRPr="00362255" w:rsidP="00362255" w14:paraId="3C35B765"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Subfunção: 122</w:t>
      </w:r>
    </w:p>
    <w:p w:rsidR="00362255" w:rsidRPr="00362255" w:rsidP="00362255" w14:paraId="73C96CE3"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Programa: 1016</w:t>
      </w:r>
    </w:p>
    <w:p w:rsidR="00362255" w:rsidRPr="00362255" w:rsidP="00362255" w14:paraId="11634072"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Ação: 2002 – Manutenção da Unidade</w:t>
      </w:r>
    </w:p>
    <w:p w:rsidR="00362255" w:rsidP="00362255" w14:paraId="27AC122F"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Produto: Unidade Mantida</w:t>
      </w:r>
    </w:p>
    <w:p w:rsidR="00362255" w:rsidRPr="00362255" w:rsidP="00362255" w14:paraId="0F425478"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Unidade: Percentual/Ano</w:t>
      </w:r>
    </w:p>
    <w:p w:rsidR="00362255" w:rsidRPr="00362255" w:rsidP="00362255" w14:paraId="7EAF2654"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Quant. Total: 100</w:t>
      </w:r>
    </w:p>
    <w:p w:rsidR="00362255" w:rsidRPr="00362255" w:rsidP="00362255" w14:paraId="205E6133"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Meta: 100</w:t>
      </w:r>
    </w:p>
    <w:p w:rsidR="00C93D77" w:rsidRPr="00362255" w:rsidP="00362255" w14:paraId="3A532923" w14:textId="5FC39E98">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Valor: R$ 6.238.000,00</w:t>
      </w:r>
    </w:p>
    <w:p w:rsidR="00362255" w:rsidRPr="00362255" w:rsidP="00362255" w14:paraId="685EA393" w14:textId="77777777">
      <w:pPr>
        <w:spacing w:before="120" w:after="120"/>
        <w:jc w:val="both"/>
        <w:rPr>
          <w:rFonts w:ascii="Courier New" w:hAnsi="Courier New" w:cs="Courier New"/>
          <w:sz w:val="22"/>
          <w:szCs w:val="22"/>
        </w:rPr>
      </w:pPr>
    </w:p>
    <w:p w:rsidR="00C93D77" w:rsidRPr="00362255" w:rsidP="00362255" w14:paraId="681FCA5B" w14:textId="77777777">
      <w:pPr>
        <w:spacing w:before="120" w:after="120"/>
        <w:ind w:left="284" w:hanging="284"/>
        <w:jc w:val="both"/>
        <w:rPr>
          <w:rFonts w:ascii="Courier New" w:hAnsi="Courier New" w:cs="Courier New"/>
          <w:b/>
          <w:bCs/>
          <w:sz w:val="22"/>
          <w:szCs w:val="22"/>
        </w:rPr>
      </w:pPr>
      <w:r w:rsidRPr="00362255">
        <w:rPr>
          <w:rFonts w:ascii="Courier New" w:hAnsi="Courier New" w:cs="Courier New"/>
          <w:b/>
          <w:bCs/>
          <w:sz w:val="22"/>
          <w:szCs w:val="22"/>
        </w:rPr>
        <w:t>LEIA-SE:</w:t>
      </w:r>
    </w:p>
    <w:p w:rsidR="00362255" w:rsidRPr="00362255" w:rsidP="00362255" w14:paraId="54C33DB8"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Função: 10 – Saúde</w:t>
      </w:r>
    </w:p>
    <w:p w:rsidR="00362255" w:rsidRPr="00362255" w:rsidP="00362255" w14:paraId="612394DB"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Subfunção: 122</w:t>
      </w:r>
    </w:p>
    <w:p w:rsidR="00362255" w:rsidRPr="00362255" w:rsidP="00362255" w14:paraId="2D128DAC"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Programa: 1016</w:t>
      </w:r>
    </w:p>
    <w:p w:rsidR="00362255" w:rsidRPr="00362255" w:rsidP="00362255" w14:paraId="3BD1B97B"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Ação: 2002 – Manutenção da Unidade</w:t>
      </w:r>
    </w:p>
    <w:p w:rsidR="00362255" w:rsidRPr="00362255" w:rsidP="00362255" w14:paraId="77C56DC9" w14:textId="04141BF6">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 xml:space="preserve">Produto: Unidade Mantida/ </w:t>
      </w:r>
      <w:r w:rsidR="00AE1FD1">
        <w:rPr>
          <w:rFonts w:ascii="Courier New" w:hAnsi="Courier New" w:cs="Courier New"/>
          <w:sz w:val="22"/>
          <w:szCs w:val="22"/>
        </w:rPr>
        <w:t xml:space="preserve">Ampliação da </w:t>
      </w:r>
      <w:r w:rsidRPr="00362255">
        <w:rPr>
          <w:rFonts w:ascii="Courier New" w:hAnsi="Courier New" w:cs="Courier New"/>
          <w:sz w:val="22"/>
          <w:szCs w:val="22"/>
        </w:rPr>
        <w:t>Unidade Básica de Saúde do Vergel</w:t>
      </w:r>
    </w:p>
    <w:p w:rsidR="00362255" w:rsidRPr="00362255" w:rsidP="00362255" w14:paraId="6C11AA82"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Unidade: Percentual/Ano</w:t>
      </w:r>
    </w:p>
    <w:p w:rsidR="00362255" w:rsidRPr="00362255" w:rsidP="00362255" w14:paraId="7CC72C0B"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Quant. Total: 100</w:t>
      </w:r>
    </w:p>
    <w:p w:rsidR="00362255" w:rsidRPr="00362255" w:rsidP="00362255" w14:paraId="7FF194B5" w14:textId="77777777">
      <w:pPr>
        <w:pStyle w:val="ListParagraph"/>
        <w:numPr>
          <w:ilvl w:val="0"/>
          <w:numId w:val="10"/>
        </w:numPr>
        <w:spacing w:before="120" w:after="120"/>
        <w:ind w:left="284" w:hanging="284"/>
        <w:contextualSpacing w:val="0"/>
        <w:jc w:val="both"/>
        <w:rPr>
          <w:rFonts w:ascii="Courier New" w:hAnsi="Courier New" w:cs="Courier New"/>
          <w:sz w:val="22"/>
          <w:szCs w:val="22"/>
        </w:rPr>
      </w:pPr>
      <w:r w:rsidRPr="00362255">
        <w:rPr>
          <w:rFonts w:ascii="Courier New" w:hAnsi="Courier New" w:cs="Courier New"/>
          <w:sz w:val="22"/>
          <w:szCs w:val="22"/>
        </w:rPr>
        <w:t>Meta: 100</w:t>
      </w:r>
    </w:p>
    <w:p w:rsidR="00701315" w:rsidRPr="00362255" w:rsidP="00362255" w14:paraId="0B14D41D" w14:textId="71E2E78D">
      <w:pPr>
        <w:pStyle w:val="ListParagraph"/>
        <w:numPr>
          <w:ilvl w:val="0"/>
          <w:numId w:val="10"/>
        </w:numPr>
        <w:spacing w:before="120" w:after="120"/>
        <w:ind w:left="284" w:hanging="284"/>
        <w:jc w:val="both"/>
        <w:rPr>
          <w:rFonts w:ascii="Courier New" w:hAnsi="Courier New" w:cs="Courier New"/>
          <w:sz w:val="22"/>
          <w:szCs w:val="22"/>
        </w:rPr>
        <w:sectPr w:rsidSect="00701315">
          <w:type w:val="continuous"/>
          <w:pgSz w:w="11906" w:h="16838" w:code="9"/>
          <w:pgMar w:top="1985" w:right="1134" w:bottom="851" w:left="1701" w:header="680" w:footer="284" w:gutter="0"/>
          <w:pgNumType w:start="1"/>
          <w:cols w:num="2" w:space="565"/>
          <w:docGrid w:linePitch="360"/>
        </w:sectPr>
      </w:pPr>
      <w:r w:rsidRPr="00362255">
        <w:rPr>
          <w:rFonts w:ascii="Courier New" w:hAnsi="Courier New" w:cs="Courier New"/>
          <w:sz w:val="22"/>
          <w:szCs w:val="22"/>
        </w:rPr>
        <w:t>Valor: R$ 6.238.000,00</w:t>
      </w:r>
    </w:p>
    <w:p w:rsidR="00362255" w:rsidP="00010A9F" w14:paraId="049E1E85" w14:textId="77777777">
      <w:pPr>
        <w:spacing w:before="120" w:after="120" w:line="276" w:lineRule="auto"/>
        <w:jc w:val="right"/>
        <w:rPr>
          <w:rFonts w:ascii="Courier New" w:hAnsi="Courier New" w:cs="Courier New"/>
          <w:i/>
          <w:iCs/>
          <w:sz w:val="22"/>
          <w:szCs w:val="22"/>
        </w:rPr>
      </w:pPr>
    </w:p>
    <w:p w:rsidR="00465074" w:rsidRPr="00362255" w:rsidP="00010A9F" w14:paraId="60047F74" w14:textId="3B6254D7">
      <w:pPr>
        <w:spacing w:before="120" w:after="120" w:line="276" w:lineRule="auto"/>
        <w:jc w:val="right"/>
        <w:rPr>
          <w:rFonts w:ascii="Courier New" w:hAnsi="Courier New" w:cs="Courier New"/>
          <w:i/>
          <w:iCs/>
          <w:sz w:val="22"/>
          <w:szCs w:val="22"/>
        </w:rPr>
      </w:pPr>
      <w:r w:rsidRPr="00362255">
        <w:rPr>
          <w:rFonts w:ascii="Courier New" w:hAnsi="Courier New" w:cs="Courier New"/>
          <w:i/>
          <w:iCs/>
          <w:sz w:val="22"/>
          <w:szCs w:val="22"/>
        </w:rPr>
        <w:t xml:space="preserve">Sala das Sessões “Vereador Santo </w:t>
      </w:r>
      <w:r w:rsidRPr="00362255">
        <w:rPr>
          <w:rFonts w:ascii="Courier New" w:hAnsi="Courier New" w:cs="Courier New"/>
          <w:i/>
          <w:iCs/>
          <w:sz w:val="22"/>
          <w:szCs w:val="22"/>
        </w:rPr>
        <w:t>Róttoli</w:t>
      </w:r>
      <w:r w:rsidRPr="00362255">
        <w:rPr>
          <w:rFonts w:ascii="Courier New" w:hAnsi="Courier New" w:cs="Courier New"/>
          <w:i/>
          <w:iCs/>
          <w:sz w:val="22"/>
          <w:szCs w:val="22"/>
        </w:rPr>
        <w:t xml:space="preserve">”, </w:t>
      </w:r>
      <w:r w:rsidRPr="00362255">
        <w:rPr>
          <w:rFonts w:ascii="Courier New" w:hAnsi="Courier New" w:cs="Courier New"/>
          <w:i/>
          <w:iCs/>
          <w:sz w:val="22"/>
          <w:szCs w:val="22"/>
        </w:rPr>
        <w:fldChar w:fldCharType="begin"/>
      </w:r>
      <w:r w:rsidRPr="00362255">
        <w:rPr>
          <w:rFonts w:ascii="Courier New" w:hAnsi="Courier New" w:cs="Courier New"/>
          <w:i/>
          <w:iCs/>
          <w:sz w:val="22"/>
          <w:szCs w:val="22"/>
        </w:rPr>
        <w:instrText xml:space="preserve"> TIME \@ "d' de 'MMMM' de 'yyyy" </w:instrText>
      </w:r>
      <w:r w:rsidRPr="00362255">
        <w:rPr>
          <w:rFonts w:ascii="Courier New" w:hAnsi="Courier New" w:cs="Courier New"/>
          <w:i/>
          <w:iCs/>
          <w:sz w:val="22"/>
          <w:szCs w:val="22"/>
        </w:rPr>
        <w:fldChar w:fldCharType="separate"/>
      </w:r>
      <w:r w:rsidRPr="00362255">
        <w:rPr>
          <w:rFonts w:ascii="Courier New" w:hAnsi="Courier New" w:cs="Courier New"/>
          <w:i/>
          <w:iCs/>
          <w:sz w:val="22"/>
          <w:szCs w:val="22"/>
        </w:rPr>
        <w:t>19 de maio de 2026</w:t>
      </w:r>
      <w:r w:rsidRPr="00362255">
        <w:rPr>
          <w:rFonts w:ascii="Courier New" w:hAnsi="Courier New" w:cs="Courier New"/>
          <w:i/>
          <w:iCs/>
          <w:sz w:val="22"/>
          <w:szCs w:val="22"/>
        </w:rPr>
        <w:fldChar w:fldCharType="end"/>
      </w:r>
      <w:r w:rsidRPr="00362255">
        <w:rPr>
          <w:rFonts w:ascii="Courier New" w:hAnsi="Courier New" w:cs="Courier New"/>
          <w:i/>
          <w:iCs/>
          <w:sz w:val="22"/>
          <w:szCs w:val="22"/>
        </w:rPr>
        <w:t>.</w:t>
      </w:r>
    </w:p>
    <w:p w:rsidR="00E144CB" w:rsidP="00010A9F" w14:paraId="739E9032" w14:textId="77777777">
      <w:pPr>
        <w:spacing w:before="120" w:after="120" w:line="276" w:lineRule="auto"/>
        <w:ind w:firstLine="708"/>
        <w:jc w:val="both"/>
        <w:rPr>
          <w:rFonts w:ascii="Courier New" w:hAnsi="Courier New" w:cs="Courier New"/>
          <w:sz w:val="22"/>
          <w:szCs w:val="22"/>
        </w:rPr>
      </w:pPr>
    </w:p>
    <w:p w:rsidR="00362255" w:rsidRPr="00362255" w:rsidP="00010A9F" w14:paraId="177A6815" w14:textId="77777777">
      <w:pPr>
        <w:spacing w:before="120" w:after="120" w:line="276" w:lineRule="auto"/>
        <w:ind w:firstLine="708"/>
        <w:jc w:val="both"/>
        <w:rPr>
          <w:rFonts w:ascii="Courier New" w:hAnsi="Courier New" w:cs="Courier New"/>
          <w:sz w:val="22"/>
          <w:szCs w:val="22"/>
        </w:rPr>
      </w:pPr>
    </w:p>
    <w:p w:rsidR="00465074" w:rsidRPr="00362255" w:rsidP="00010A9F" w14:paraId="74A51B15" w14:textId="77777777">
      <w:pPr>
        <w:spacing w:before="120" w:after="120" w:line="276" w:lineRule="auto"/>
        <w:jc w:val="center"/>
        <w:rPr>
          <w:rFonts w:ascii="Courier New" w:hAnsi="Courier New" w:cs="Courier New"/>
          <w:sz w:val="22"/>
          <w:szCs w:val="22"/>
        </w:rPr>
      </w:pPr>
      <w:r w:rsidRPr="00362255">
        <w:rPr>
          <w:rFonts w:ascii="Courier New" w:hAnsi="Courier New" w:cs="Courier New"/>
          <w:i/>
          <w:iCs/>
          <w:sz w:val="22"/>
          <w:szCs w:val="22"/>
        </w:rPr>
        <w:t>(assinado digitalmente)</w:t>
      </w:r>
    </w:p>
    <w:p w:rsidR="00465074" w:rsidRPr="00362255" w:rsidP="00010A9F" w14:paraId="7D0CF115" w14:textId="77777777">
      <w:pPr>
        <w:spacing w:before="120" w:after="120" w:line="276" w:lineRule="auto"/>
        <w:jc w:val="center"/>
        <w:rPr>
          <w:rFonts w:ascii="Courier New" w:hAnsi="Courier New" w:cs="Courier New"/>
          <w:b/>
          <w:bCs/>
          <w:sz w:val="22"/>
          <w:szCs w:val="22"/>
        </w:rPr>
      </w:pPr>
      <w:r w:rsidRPr="00362255">
        <w:rPr>
          <w:rFonts w:ascii="Courier New" w:hAnsi="Courier New" w:cs="Courier New"/>
          <w:b/>
          <w:bCs/>
          <w:sz w:val="22"/>
          <w:szCs w:val="22"/>
        </w:rPr>
        <w:t>VEREADOR ERNANI LUIZ DONATTI GRAGNANELLO</w:t>
      </w:r>
      <w:r w:rsidRPr="00362255">
        <w:rPr>
          <w:rFonts w:ascii="Courier New" w:hAnsi="Courier New" w:cs="Courier New"/>
          <w:b/>
          <w:bCs/>
          <w:sz w:val="22"/>
          <w:szCs w:val="22"/>
        </w:rPr>
        <w:br/>
        <w:t>PARTIDO DOS TRABALHADORES (PT)</w:t>
      </w:r>
    </w:p>
    <w:p w:rsidR="00CF4DAC" w:rsidRPr="00362255" w:rsidP="00362255" w14:paraId="284E5ADD" w14:textId="77777777">
      <w:pPr>
        <w:suppressAutoHyphens w:val="0"/>
        <w:spacing w:after="160" w:line="259" w:lineRule="auto"/>
        <w:jc w:val="center"/>
        <w:rPr>
          <w:rFonts w:ascii="Courier New" w:hAnsi="Courier New" w:cs="Courier New"/>
        </w:rPr>
      </w:pPr>
      <w:r w:rsidRPr="00362255">
        <w:rPr>
          <w:rFonts w:ascii="Courier New" w:hAnsi="Courier New" w:cs="Courier New"/>
          <w:b/>
          <w:noProof/>
        </w:rPr>
        <w:drawing>
          <wp:inline distT="0" distB="0" distL="0" distR="0">
            <wp:extent cx="2890150" cy="1341120"/>
            <wp:effectExtent l="0" t="0" r="5715"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169" name="Imagem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949868" cy="1368831"/>
                    </a:xfrm>
                    <a:prstGeom prst="rect">
                      <a:avLst/>
                    </a:prstGeom>
                    <a:noFill/>
                    <a:ln>
                      <a:noFill/>
                    </a:ln>
                  </pic:spPr>
                </pic:pic>
              </a:graphicData>
            </a:graphic>
          </wp:inline>
        </w:drawing>
      </w:r>
      <w:r w:rsidRPr="00362255">
        <w:rPr>
          <w:rFonts w:ascii="Courier New" w:hAnsi="Courier New" w:cs="Courier New"/>
        </w:rPr>
        <w:br w:type="page"/>
      </w:r>
    </w:p>
    <w:p w:rsidR="00465074" w:rsidRPr="00FF0373" w:rsidP="00010A9F" w14:paraId="77A50B75" w14:textId="77777777">
      <w:pPr>
        <w:spacing w:before="120" w:after="120" w:line="276" w:lineRule="auto"/>
        <w:jc w:val="center"/>
        <w:rPr>
          <w:rFonts w:ascii="Courier New" w:hAnsi="Courier New" w:cs="Courier New"/>
          <w:b/>
          <w:bCs/>
          <w:sz w:val="22"/>
          <w:szCs w:val="22"/>
          <w:u w:val="single"/>
        </w:rPr>
      </w:pPr>
      <w:r w:rsidRPr="00FF0373">
        <w:rPr>
          <w:rFonts w:ascii="Courier New" w:hAnsi="Courier New" w:cs="Courier New"/>
          <w:b/>
          <w:bCs/>
          <w:sz w:val="22"/>
          <w:szCs w:val="22"/>
          <w:u w:val="single"/>
        </w:rPr>
        <w:t>JUSTIFICAÇÃO</w:t>
      </w:r>
    </w:p>
    <w:p w:rsidR="00A164B8" w:rsidRPr="00FF0373" w:rsidP="00010A9F" w14:paraId="58021A9A" w14:textId="77777777">
      <w:pPr>
        <w:spacing w:before="120" w:after="120" w:line="276" w:lineRule="auto"/>
        <w:ind w:firstLine="567"/>
        <w:jc w:val="both"/>
        <w:rPr>
          <w:rFonts w:ascii="Courier New" w:hAnsi="Courier New" w:cs="Courier New"/>
          <w:sz w:val="22"/>
          <w:szCs w:val="22"/>
        </w:rPr>
      </w:pPr>
    </w:p>
    <w:p w:rsidR="00BA52E0" w:rsidRPr="00BA52E0" w:rsidP="00BA52E0" w14:paraId="08A06454"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A presente emenda guarda estrita conformidade com a técnica legislativa e com a repartição constitucional de competências, posto que visa instituir o dever de planejamento voltado à garantia do direito fundamental à saúde e à eficiência na prestação de serviços públicos essenciais, assegurando que o </w:t>
      </w:r>
      <w:r w:rsidRPr="00BA52E0">
        <w:rPr>
          <w:rFonts w:ascii="Courier New" w:hAnsi="Courier New" w:cs="Courier New"/>
          <w:b/>
          <w:bCs/>
          <w:sz w:val="22"/>
          <w:szCs w:val="22"/>
        </w:rPr>
        <w:t>orçamento municipal atue como instrumento de concretização da dignidade humana.</w:t>
      </w:r>
    </w:p>
    <w:p w:rsidR="00BA52E0" w:rsidRPr="00BA52E0" w:rsidP="00BA52E0" w14:paraId="67D4C8A2" w14:textId="5BC4CC36">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a</w:t>
      </w:r>
      <w:r w:rsidRPr="00BA52E0">
        <w:rPr>
          <w:rFonts w:ascii="Courier New" w:hAnsi="Courier New" w:cs="Courier New"/>
          <w:sz w:val="22"/>
          <w:szCs w:val="22"/>
        </w:rPr>
        <w:t xml:space="preserve"> urgência desta medida fundamenta</w:t>
      </w:r>
      <w:r>
        <w:rPr>
          <w:rFonts w:ascii="Courier New" w:hAnsi="Courier New" w:cs="Courier New"/>
          <w:sz w:val="22"/>
          <w:szCs w:val="22"/>
        </w:rPr>
        <w:t>da</w:t>
      </w:r>
      <w:r w:rsidRPr="00BA52E0">
        <w:rPr>
          <w:rFonts w:ascii="Courier New" w:hAnsi="Courier New" w:cs="Courier New"/>
          <w:sz w:val="22"/>
          <w:szCs w:val="22"/>
        </w:rPr>
        <w:t xml:space="preserve"> em uma realidade fática inaceitável: atualmente, os munícipes que buscam atendimento na </w:t>
      </w:r>
      <w:r w:rsidRPr="00BA52E0">
        <w:rPr>
          <w:rFonts w:ascii="Courier New" w:hAnsi="Courier New" w:cs="Courier New"/>
          <w:b/>
          <w:bCs/>
          <w:sz w:val="22"/>
          <w:szCs w:val="22"/>
        </w:rPr>
        <w:t>Unidade Básica de Saúde do Vergel</w:t>
      </w:r>
      <w:r w:rsidRPr="00BA52E0">
        <w:rPr>
          <w:rFonts w:ascii="Courier New" w:hAnsi="Courier New" w:cs="Courier New"/>
          <w:sz w:val="22"/>
          <w:szCs w:val="22"/>
        </w:rPr>
        <w:t xml:space="preserve"> não dispõem de um local coberto para aguardar as consultas. </w:t>
      </w:r>
      <w:r w:rsidRPr="00BA52E0">
        <w:rPr>
          <w:rFonts w:ascii="Courier New" w:hAnsi="Courier New" w:cs="Courier New"/>
          <w:b/>
          <w:bCs/>
          <w:sz w:val="22"/>
          <w:szCs w:val="22"/>
        </w:rPr>
        <w:t>As pessoas são obrigadas a permanecer ao relento, expostas ao sol e à chuva (ao tempo), aguardando atendimento em condições desumanas.</w:t>
      </w:r>
    </w:p>
    <w:p w:rsidR="00BA52E0" w:rsidRPr="00BA52E0" w:rsidP="00BA52E0" w14:paraId="6921CADC"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Dessa forma, o recurso ora destinado visa especificamente a </w:t>
      </w:r>
      <w:r w:rsidRPr="00BA52E0">
        <w:rPr>
          <w:rFonts w:ascii="Courier New" w:hAnsi="Courier New" w:cs="Courier New"/>
          <w:b/>
          <w:bCs/>
          <w:sz w:val="22"/>
          <w:szCs w:val="22"/>
        </w:rPr>
        <w:t>construção de uma sala de espera adequada</w:t>
      </w:r>
      <w:r w:rsidRPr="00BA52E0">
        <w:rPr>
          <w:rFonts w:ascii="Courier New" w:hAnsi="Courier New" w:cs="Courier New"/>
          <w:sz w:val="22"/>
          <w:szCs w:val="22"/>
        </w:rPr>
        <w:t xml:space="preserve">, garantindo o mínimo de conforto e humanidade para a comunidade rural, que hoje se vê desamparada em suas necessidades básicas de acolhimento. Tal situação afronta diretamente o </w:t>
      </w:r>
      <w:r w:rsidRPr="00BA52E0">
        <w:rPr>
          <w:rFonts w:ascii="Courier New" w:hAnsi="Courier New" w:cs="Courier New"/>
          <w:b/>
          <w:bCs/>
          <w:sz w:val="22"/>
          <w:szCs w:val="22"/>
        </w:rPr>
        <w:t>Princípio da Dignidade da Pessoa Humana</w:t>
      </w:r>
      <w:r w:rsidRPr="00BA52E0">
        <w:rPr>
          <w:rFonts w:ascii="Courier New" w:hAnsi="Courier New" w:cs="Courier New"/>
          <w:sz w:val="22"/>
          <w:szCs w:val="22"/>
        </w:rPr>
        <w:t xml:space="preserve"> (Art. 1º, III, CF/88) e o </w:t>
      </w:r>
      <w:r w:rsidRPr="00BA52E0">
        <w:rPr>
          <w:rFonts w:ascii="Courier New" w:hAnsi="Courier New" w:cs="Courier New"/>
          <w:b/>
          <w:bCs/>
          <w:sz w:val="22"/>
          <w:szCs w:val="22"/>
        </w:rPr>
        <w:t>Direito Social à Saúde</w:t>
      </w:r>
      <w:r w:rsidRPr="00BA52E0">
        <w:rPr>
          <w:rFonts w:ascii="Courier New" w:hAnsi="Courier New" w:cs="Courier New"/>
          <w:sz w:val="22"/>
          <w:szCs w:val="22"/>
        </w:rPr>
        <w:t xml:space="preserve"> (Art. 6º e Art. 196, CF/88):</w:t>
      </w:r>
    </w:p>
    <w:p w:rsidR="003C481D" w:rsidP="002C7885" w14:paraId="4C89C5DA" w14:textId="77777777">
      <w:pPr>
        <w:spacing w:before="120" w:after="120" w:line="276" w:lineRule="auto"/>
        <w:ind w:firstLine="567"/>
        <w:jc w:val="both"/>
        <w:rPr>
          <w:rFonts w:ascii="Courier New" w:hAnsi="Courier New" w:cs="Courier New"/>
          <w:sz w:val="22"/>
          <w:szCs w:val="22"/>
        </w:rPr>
      </w:pPr>
    </w:p>
    <w:p w:rsidR="00BA52E0" w:rsidRPr="00BA52E0" w:rsidP="00BA52E0" w14:paraId="4465A02C" w14:textId="77777777">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b/>
          <w:bCs/>
        </w:rPr>
        <w:t>Art. 6º</w:t>
      </w:r>
      <w:r w:rsidRPr="00BA52E0">
        <w:rPr>
          <w:rFonts w:ascii="Courier New" w:hAnsi="Courier New" w:cs="Courier New"/>
        </w:rPr>
        <w:t xml:space="preserve"> São direitos sociais a educação, a saúde, a alimentação, o trabalho, a moradia, o transporte, o lazer, a segurança, a previdência social, a proteção à maternidade e à infância, a assistência aos desamparados, na forma desta Constituição.  </w:t>
      </w:r>
    </w:p>
    <w:p w:rsidR="00BA52E0" w:rsidP="00BA52E0" w14:paraId="4C2C713A" w14:textId="77777777">
      <w:pPr>
        <w:spacing w:before="120" w:after="120" w:line="276" w:lineRule="auto"/>
        <w:ind w:firstLine="567"/>
        <w:jc w:val="both"/>
        <w:rPr>
          <w:rFonts w:ascii="Courier New" w:hAnsi="Courier New" w:cs="Courier New"/>
          <w:sz w:val="22"/>
          <w:szCs w:val="22"/>
        </w:rPr>
      </w:pPr>
    </w:p>
    <w:p w:rsidR="003C481D" w:rsidRPr="00FF0373" w:rsidP="00BA52E0" w14:paraId="42269016" w14:textId="6D07532E">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b/>
          <w:bCs/>
        </w:rPr>
        <w:t>Art. 196.</w:t>
      </w:r>
      <w:r w:rsidRPr="00BA52E0">
        <w:rPr>
          <w:rFonts w:ascii="Courier New" w:hAnsi="Courier New" w:cs="Courier New"/>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A164B8" w:rsidP="00010A9F" w14:paraId="419FEE47" w14:textId="66745E91">
      <w:pPr>
        <w:spacing w:before="120" w:after="120" w:line="276" w:lineRule="auto"/>
        <w:ind w:firstLine="567"/>
        <w:jc w:val="both"/>
        <w:rPr>
          <w:rFonts w:ascii="Courier New" w:hAnsi="Courier New" w:cs="Courier New"/>
          <w:sz w:val="22"/>
          <w:szCs w:val="22"/>
        </w:rPr>
      </w:pPr>
    </w:p>
    <w:p w:rsidR="00BA52E0" w:rsidRPr="00BA52E0" w:rsidP="00BA52E0" w14:paraId="45F4C5AB"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No plano do direito internacional, a emenda materializa o compromisso assumido pelo Estado Brasileiro na Declaração Universal dos Direitos Humanos (Artigo 25), que preconiza que todo ser humano tem direito a um padrão de vida capaz de assegurar a si e a sua família saúde e bem-estar. A ausência de um abrigo mínimo para pacientes em espera configura tratamento indigno, incompatível com os tratados internacionais de direitos humanos.</w:t>
      </w:r>
    </w:p>
    <w:p w:rsidR="00BA52E0" w:rsidRPr="00BA52E0" w:rsidP="00BA52E0" w14:paraId="5A501AB2"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Ora, a proteção do Estado Democrático de Direito exige uma atuação proativa do ente municipal, fundamentada no </w:t>
      </w:r>
      <w:r w:rsidRPr="00BA52E0">
        <w:rPr>
          <w:rFonts w:ascii="Courier New" w:hAnsi="Courier New" w:cs="Courier New"/>
          <w:b/>
          <w:bCs/>
          <w:sz w:val="22"/>
          <w:szCs w:val="22"/>
        </w:rPr>
        <w:t>Princípio da Vedação ao Retrocesso Social</w:t>
      </w:r>
      <w:r w:rsidRPr="00BA52E0">
        <w:rPr>
          <w:rFonts w:ascii="Courier New" w:hAnsi="Courier New" w:cs="Courier New"/>
          <w:sz w:val="22"/>
          <w:szCs w:val="22"/>
        </w:rPr>
        <w:t xml:space="preserve"> e no brocardo </w:t>
      </w:r>
      <w:r w:rsidRPr="00BA52E0">
        <w:rPr>
          <w:rFonts w:ascii="Courier New" w:hAnsi="Courier New" w:cs="Courier New"/>
          <w:i/>
          <w:iCs/>
          <w:sz w:val="22"/>
          <w:szCs w:val="22"/>
        </w:rPr>
        <w:t xml:space="preserve">pro </w:t>
      </w:r>
      <w:r w:rsidRPr="00BA52E0">
        <w:rPr>
          <w:rFonts w:ascii="Courier New" w:hAnsi="Courier New" w:cs="Courier New"/>
          <w:i/>
          <w:iCs/>
          <w:sz w:val="22"/>
          <w:szCs w:val="22"/>
        </w:rPr>
        <w:t>homine</w:t>
      </w:r>
      <w:r w:rsidRPr="00BA52E0">
        <w:rPr>
          <w:rFonts w:ascii="Courier New" w:hAnsi="Courier New" w:cs="Courier New"/>
          <w:sz w:val="22"/>
          <w:szCs w:val="22"/>
        </w:rPr>
        <w:t xml:space="preserve">, que exige a interpretação normativa sempre favorável à proteção da dignidade humana. A aplicação do preceito </w:t>
      </w:r>
      <w:r w:rsidRPr="00BA52E0">
        <w:rPr>
          <w:rFonts w:ascii="Courier New" w:hAnsi="Courier New" w:cs="Courier New"/>
          <w:i/>
          <w:iCs/>
          <w:sz w:val="22"/>
          <w:szCs w:val="22"/>
        </w:rPr>
        <w:t>salus</w:t>
      </w:r>
      <w:r w:rsidRPr="00BA52E0">
        <w:rPr>
          <w:rFonts w:ascii="Courier New" w:hAnsi="Courier New" w:cs="Courier New"/>
          <w:i/>
          <w:iCs/>
          <w:sz w:val="22"/>
          <w:szCs w:val="22"/>
        </w:rPr>
        <w:t xml:space="preserve"> </w:t>
      </w:r>
      <w:r w:rsidRPr="00BA52E0">
        <w:rPr>
          <w:rFonts w:ascii="Courier New" w:hAnsi="Courier New" w:cs="Courier New"/>
          <w:i/>
          <w:iCs/>
          <w:sz w:val="22"/>
          <w:szCs w:val="22"/>
        </w:rPr>
        <w:t>populi</w:t>
      </w:r>
      <w:r w:rsidRPr="00BA52E0">
        <w:rPr>
          <w:rFonts w:ascii="Courier New" w:hAnsi="Courier New" w:cs="Courier New"/>
          <w:i/>
          <w:iCs/>
          <w:sz w:val="22"/>
          <w:szCs w:val="22"/>
        </w:rPr>
        <w:t xml:space="preserve"> suprema </w:t>
      </w:r>
      <w:r w:rsidRPr="00BA52E0">
        <w:rPr>
          <w:rFonts w:ascii="Courier New" w:hAnsi="Courier New" w:cs="Courier New"/>
          <w:i/>
          <w:iCs/>
          <w:sz w:val="22"/>
          <w:szCs w:val="22"/>
        </w:rPr>
        <w:t>lex</w:t>
      </w:r>
      <w:r w:rsidRPr="00BA52E0">
        <w:rPr>
          <w:rFonts w:ascii="Courier New" w:hAnsi="Courier New" w:cs="Courier New"/>
          <w:i/>
          <w:iCs/>
          <w:sz w:val="22"/>
          <w:szCs w:val="22"/>
        </w:rPr>
        <w:t xml:space="preserve"> </w:t>
      </w:r>
      <w:r w:rsidRPr="00BA52E0">
        <w:rPr>
          <w:rFonts w:ascii="Courier New" w:hAnsi="Courier New" w:cs="Courier New"/>
          <w:i/>
          <w:iCs/>
          <w:sz w:val="22"/>
          <w:szCs w:val="22"/>
        </w:rPr>
        <w:t>esto</w:t>
      </w:r>
      <w:r w:rsidRPr="00BA52E0">
        <w:rPr>
          <w:rFonts w:ascii="Courier New" w:hAnsi="Courier New" w:cs="Courier New"/>
          <w:sz w:val="22"/>
          <w:szCs w:val="22"/>
        </w:rPr>
        <w:t xml:space="preserve"> exige que a segurança e o bem-estar do povo sejam a lei suprema do planejamento governamental.</w:t>
      </w:r>
    </w:p>
    <w:p w:rsidR="00BA52E0" w:rsidRPr="00BA52E0" w:rsidP="00BA52E0" w14:paraId="4E1CF5E1"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Fato é que inexiste vício de iniciativa ou usurpação de competência administrativa, uma vez que o dispositivo ora proposto não cria despesa imediata ou obrigatória, mas </w:t>
      </w:r>
      <w:r w:rsidRPr="00BA52E0">
        <w:rPr>
          <w:rFonts w:ascii="Courier New" w:hAnsi="Courier New" w:cs="Courier New"/>
          <w:b/>
          <w:bCs/>
          <w:sz w:val="22"/>
          <w:szCs w:val="22"/>
        </w:rPr>
        <w:t>estabelece diretrizes</w:t>
      </w:r>
      <w:r w:rsidRPr="00BA52E0">
        <w:rPr>
          <w:rFonts w:ascii="Courier New" w:hAnsi="Courier New" w:cs="Courier New"/>
          <w:sz w:val="22"/>
          <w:szCs w:val="22"/>
        </w:rPr>
        <w:t xml:space="preserve"> de planejamento voltadas à eficiência social das políticas públicas. Atende-se ao </w:t>
      </w:r>
      <w:r w:rsidRPr="00BA52E0">
        <w:rPr>
          <w:rFonts w:ascii="Courier New" w:hAnsi="Courier New" w:cs="Courier New"/>
          <w:b/>
          <w:bCs/>
          <w:sz w:val="22"/>
          <w:szCs w:val="22"/>
        </w:rPr>
        <w:t>Princípio da Separação de Poderes</w:t>
      </w:r>
      <w:r w:rsidRPr="00BA52E0">
        <w:rPr>
          <w:rFonts w:ascii="Courier New" w:hAnsi="Courier New" w:cs="Courier New"/>
          <w:sz w:val="22"/>
          <w:szCs w:val="22"/>
        </w:rPr>
        <w:t xml:space="preserve"> através da cláusula de reserva, respeitando a discricionariedade do Executivo na execução técnica, conforme validado pelo Supremo Tribunal Federal (STF) na </w:t>
      </w:r>
      <w:r w:rsidRPr="00BA52E0">
        <w:rPr>
          <w:rFonts w:ascii="Courier New" w:hAnsi="Courier New" w:cs="Courier New"/>
          <w:b/>
          <w:bCs/>
          <w:sz w:val="22"/>
          <w:szCs w:val="22"/>
        </w:rPr>
        <w:t>Tese 917 da Repercussão Geral</w:t>
      </w:r>
      <w:r w:rsidRPr="00BA52E0">
        <w:rPr>
          <w:rFonts w:ascii="Courier New" w:hAnsi="Courier New" w:cs="Courier New"/>
          <w:sz w:val="22"/>
          <w:szCs w:val="22"/>
        </w:rPr>
        <w:t>:</w:t>
      </w:r>
    </w:p>
    <w:p w:rsidR="003C481D" w:rsidP="00010A9F" w14:paraId="197F9CAF" w14:textId="77777777">
      <w:pPr>
        <w:spacing w:before="120" w:after="120" w:line="276" w:lineRule="auto"/>
        <w:ind w:firstLine="567"/>
        <w:jc w:val="both"/>
        <w:rPr>
          <w:rFonts w:ascii="Courier New" w:hAnsi="Courier New" w:cs="Courier New"/>
          <w:sz w:val="22"/>
          <w:szCs w:val="22"/>
        </w:rPr>
      </w:pPr>
    </w:p>
    <w:p w:rsidR="00BA52E0" w:rsidRPr="00FF0373" w:rsidP="00BA52E0" w14:paraId="6666B71A" w14:textId="3DED3681">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CONSTITUCIONAL. ADMINISTRATIVO. LEI 10.961/92, DO ESTADO DE MINAS GERAIS. ESTATUTO DOS SERVIDORES ESTADUAIS. PREVISÃO DO INSTITUTO DO “ACESSO” A TÍTULO DE FASE DA CARREIRA, MAS VIABILIZANDO PROVIMENTO DERIVADO VERTICAL EM CARGO DE CARREIRA DIVERSA. INCONSTITUCIONALIDADE. 1. A Lei 10.961/92 do Estado de Minas Gerais autoriza que cargos sujeitos a preenchimento por concurso público sejam providos por “acesso”, ficando preferencialmente destinados a categoria de pretendentes que já possui vínculo com a Administração Estadual. Com tal destinação, o instituto do acesso é, portanto, incompatível com o princípio da ampla acessibilidade, preconizado pelo art. 37, II, da Constituição. Seguindo jurisprudência do STF em casos análogos, fica declarada a inconstitucionalidade do art. 27 e seus parágrafos 1º a 5º da Lei 10.961/92 do Estado de Minas Gerais. 2. Ação direta de inconstitucionalidade julgada procedente.</w:t>
      </w:r>
      <w:r>
        <w:rPr>
          <w:rFonts w:ascii="Courier New" w:hAnsi="Courier New" w:cs="Courier New"/>
        </w:rPr>
        <w:t xml:space="preserve"> </w:t>
      </w:r>
      <w:r w:rsidRPr="00BA52E0">
        <w:rPr>
          <w:rFonts w:ascii="Courier New" w:hAnsi="Courier New" w:cs="Courier New"/>
        </w:rPr>
        <w:t>(STF - ADI: 917 MG, Relator: MARCO AURÉLIO, Data de Julgamento: 06/11/2013, Tribunal Pleno, Data de Publicação: 30/10/2014)</w:t>
      </w:r>
    </w:p>
    <w:p w:rsidR="00BA52E0" w:rsidP="00010A9F" w14:paraId="363F0EEF" w14:textId="77777777">
      <w:pPr>
        <w:spacing w:before="120" w:after="120" w:line="276" w:lineRule="auto"/>
        <w:ind w:firstLine="567"/>
        <w:jc w:val="both"/>
        <w:rPr>
          <w:rFonts w:ascii="Courier New" w:hAnsi="Courier New" w:cs="Courier New"/>
          <w:sz w:val="22"/>
          <w:szCs w:val="22"/>
        </w:rPr>
      </w:pPr>
    </w:p>
    <w:p w:rsidR="00BA52E0" w:rsidRPr="00FF0373" w:rsidP="00BA52E0" w14:paraId="1CBE928D" w14:textId="4D8E1718">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AÇÃO DIRETA DE INCONSTITUCIONALIDADE. LEI 1.600/2011 DO ESTADO DO AMAPÁ. PROGRAMA BOLSA ALUGUEL. VÍCIO DE INICIATIVA. INOCORRÊNCIA. INEXISTÊNCIA DE VINCULAÇÃO DO BENEFÍCIO AO SALÁRIO MÍNIMO NACIONAL. FIXAÇÃO DE PRAZO PARA REGULAMENTAÇÃO DA LEI PELO PODER EXECUTIVO. INVIABILIDADE. PARCIAL PROCEDÊNCIA DOS PEDIDOS. 1. A Lei amapaense, embora crie despesa para a Administração Pública, não trata de estruturação ou atribuição de órgãos, tampouco de regime jurídico de servidores, mas tão somente determina que seja pago o auxílio aluguel, pelo Poder Público, nas situações nela contempladas, em caráter emergencial e assistencial, aplicando-se com exatidão a Tese 917 da Repercussão Geral à norma em exame. 2. A norma impugnada não incide na proibição constitucional de indexação ao salário mínimo, tendo em vista que (i) não é fixado valor, mas limite máximo do benefício; e (</w:t>
      </w:r>
      <w:r w:rsidRPr="00BA52E0">
        <w:rPr>
          <w:rFonts w:ascii="Courier New" w:hAnsi="Courier New" w:cs="Courier New"/>
        </w:rPr>
        <w:t>ii</w:t>
      </w:r>
      <w:r w:rsidRPr="00BA52E0">
        <w:rPr>
          <w:rFonts w:ascii="Courier New" w:hAnsi="Courier New" w:cs="Courier New"/>
        </w:rPr>
        <w:t xml:space="preserve">) inexiste inconstitucionalidade em qualquer vinculação a salários mínimos, mas apenas em relação a reajuste automático de salários de servidores. 3. A Constituição, ao estabelecer as competências de cada um dos Poderes constituídos, atribuiu ao Chefe do Poder Executivo a função de chefe de governo e de direção superior da Administração Pública </w:t>
      </w:r>
      <w:r w:rsidRPr="00BA52E0">
        <w:rPr>
          <w:rFonts w:ascii="Courier New" w:hAnsi="Courier New" w:cs="Courier New"/>
        </w:rPr>
        <w:t>( CF</w:t>
      </w:r>
      <w:r w:rsidRPr="00BA52E0">
        <w:rPr>
          <w:rFonts w:ascii="Courier New" w:hAnsi="Courier New" w:cs="Courier New"/>
        </w:rPr>
        <w:t xml:space="preserve">, art. 84, II), o que significa, ao fim e ao cabo, a definição, por meio de critérios de conveniência e oportunidade, de metas e modos de execução dos objetivos legalmente traçados e em observância às </w:t>
      </w:r>
      <w:r w:rsidRPr="00BA52E0">
        <w:rPr>
          <w:rFonts w:ascii="Courier New" w:hAnsi="Courier New" w:cs="Courier New"/>
        </w:rPr>
        <w:t>limitações financeiras do Estado. Por esse motivo, a tentativa do Poder Legislativo de impor prazo ao Poder Executivo quanto ao dever regulamentar que lhe é originalmente atribuído pelo texto constitucional sem qualquer restrição temporal, viola o art. 2º da Constituição. 4. Procedência em parte do pedido para declarar a inconstitucionalidade da expressão “no prazo de 90 (noventa) dias”, contida no art. 8º da Lei 1.600, de 28 de dezembro de 2011, do Estado do Amapá.</w:t>
      </w:r>
      <w:r>
        <w:rPr>
          <w:rFonts w:ascii="Courier New" w:hAnsi="Courier New" w:cs="Courier New"/>
        </w:rPr>
        <w:t xml:space="preserve"> </w:t>
      </w:r>
      <w:r w:rsidRPr="00BA52E0">
        <w:rPr>
          <w:rFonts w:ascii="Courier New" w:hAnsi="Courier New" w:cs="Courier New"/>
        </w:rPr>
        <w:t xml:space="preserve">(STF - ADI: 4727 DF, Relator: Min. EDSON FACHIN, Data de Julgamento: 23/02/2023, Tribunal Pleno, Data de Publicação: PROCESSO ELETRÔNICO </w:t>
      </w:r>
      <w:r w:rsidRPr="00BA52E0">
        <w:rPr>
          <w:rFonts w:ascii="Courier New" w:hAnsi="Courier New" w:cs="Courier New"/>
        </w:rPr>
        <w:t>DJe</w:t>
      </w:r>
      <w:r w:rsidRPr="00BA52E0">
        <w:rPr>
          <w:rFonts w:ascii="Courier New" w:hAnsi="Courier New" w:cs="Courier New"/>
        </w:rPr>
        <w:t xml:space="preserve">-s/n </w:t>
      </w:r>
      <w:r w:rsidRPr="00BA52E0">
        <w:rPr>
          <w:rFonts w:ascii="Courier New" w:hAnsi="Courier New" w:cs="Courier New"/>
        </w:rPr>
        <w:t>DIVULG</w:t>
      </w:r>
      <w:r w:rsidRPr="00BA52E0">
        <w:rPr>
          <w:rFonts w:ascii="Courier New" w:hAnsi="Courier New" w:cs="Courier New"/>
        </w:rPr>
        <w:t xml:space="preserve"> 27-04-2023 </w:t>
      </w:r>
      <w:r w:rsidRPr="00BA52E0">
        <w:rPr>
          <w:rFonts w:ascii="Courier New" w:hAnsi="Courier New" w:cs="Courier New"/>
        </w:rPr>
        <w:t>PUBLIC</w:t>
      </w:r>
      <w:r w:rsidRPr="00BA52E0">
        <w:rPr>
          <w:rFonts w:ascii="Courier New" w:hAnsi="Courier New" w:cs="Courier New"/>
        </w:rPr>
        <w:t xml:space="preserve"> 28-04-2023)</w:t>
      </w:r>
    </w:p>
    <w:p w:rsidR="003C481D" w:rsidP="00010A9F" w14:paraId="5EB5B9C8" w14:textId="77777777">
      <w:pPr>
        <w:spacing w:before="120" w:after="120" w:line="276" w:lineRule="auto"/>
        <w:ind w:firstLine="567"/>
        <w:jc w:val="both"/>
        <w:rPr>
          <w:rFonts w:ascii="Courier New" w:hAnsi="Courier New" w:cs="Courier New"/>
          <w:sz w:val="22"/>
          <w:szCs w:val="22"/>
        </w:rPr>
      </w:pPr>
    </w:p>
    <w:p w:rsidR="00BA52E0" w:rsidP="00BA52E0" w14:paraId="5C6AC3D8" w14:textId="1F5D980B">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Ademais, o STF reafirmou na </w:t>
      </w:r>
      <w:r w:rsidRPr="00BA52E0">
        <w:rPr>
          <w:rFonts w:ascii="Courier New" w:hAnsi="Courier New" w:cs="Courier New"/>
          <w:b/>
          <w:bCs/>
          <w:sz w:val="22"/>
          <w:szCs w:val="22"/>
        </w:rPr>
        <w:t>ADI 3517</w:t>
      </w:r>
      <w:r w:rsidRPr="00BA52E0">
        <w:rPr>
          <w:rFonts w:ascii="Courier New" w:hAnsi="Courier New" w:cs="Courier New"/>
          <w:sz w:val="22"/>
          <w:szCs w:val="22"/>
        </w:rPr>
        <w:t xml:space="preserve"> que parlamentares podem emendar projetos de iniciativa reservada (como a LDO), desde que guardem afinidade lógica com o projeto original A construção de uma sala de espera em uma UBS já existente é o exemplo máximo de afinidade lógica com a manutenção e ampliação da rede de saúde</w:t>
      </w:r>
      <w:r>
        <w:rPr>
          <w:rFonts w:ascii="Courier New" w:hAnsi="Courier New" w:cs="Courier New"/>
          <w:sz w:val="22"/>
          <w:szCs w:val="22"/>
        </w:rPr>
        <w:t>:</w:t>
      </w:r>
    </w:p>
    <w:p w:rsidR="00BA52E0" w:rsidP="00BA52E0" w14:paraId="333F751F" w14:textId="77777777">
      <w:pPr>
        <w:spacing w:before="120" w:after="120" w:line="276" w:lineRule="auto"/>
        <w:ind w:firstLine="567"/>
        <w:jc w:val="both"/>
        <w:rPr>
          <w:rFonts w:ascii="Courier New" w:hAnsi="Courier New" w:cs="Courier New"/>
          <w:sz w:val="22"/>
          <w:szCs w:val="22"/>
        </w:rPr>
      </w:pPr>
    </w:p>
    <w:p w:rsidR="00BA52E0" w:rsidRPr="00FF0373" w:rsidP="00BA52E0" w14:paraId="52D6CE80" w14:textId="5965EAAB">
      <w:pPr>
        <w:pBdr>
          <w:left w:val="single" w:sz="4" w:space="4" w:color="auto"/>
          <w:right w:val="single" w:sz="4" w:space="4" w:color="auto"/>
        </w:pBdr>
        <w:ind w:left="2268"/>
        <w:jc w:val="both"/>
        <w:rPr>
          <w:rFonts w:ascii="Courier New" w:hAnsi="Courier New" w:cs="Courier New"/>
        </w:rPr>
      </w:pPr>
      <w:r w:rsidRPr="00BA52E0">
        <w:rPr>
          <w:rFonts w:ascii="Courier New" w:hAnsi="Courier New" w:cs="Courier New"/>
        </w:rPr>
        <w:t>AÇÃO DIRETA DE INCONSTITUCIONALIDADE – CÓDIGO DE ORGANIZAÇÃO E DIVISÃO JUDICIÁRIAS DO ESTADO DO PARANÁ (LEI Nº 14.277/2003)– SUPERVENIÊNCIA DE LEI ESTADUAL QUE REVOGOU, PARCIALMENTE, O DIPLOMA LEGISLATIVO IMPUGNADO – CONSEQUENTE PREJUDICIALIDADE PARCIAL DA AÇÃO DIRETA – PRECEDENTES – PROJETO DE LEI DE INICIATIVA DO TRIBUNAL DE JUSTIÇA – SUJEIÇÃO, NO CASO, À CLÁUSULA CONSTITUCIONAL DE RESERVA ( CF, ART. 125, § 1º, “in fine”)– OFERECIMENTO E APROVAÇÃO, NO CURSO DO PROCESSO LEGISLATIVO, DE EMENDAS PARLAMENTARES – ALTERAÇÕES INTRODUZIDAS POR MEIO DE EMENDAS DA ASSEMBLEIA LEGISLATIVA ESTADUAL À PROPOSTA LEGISLATIVA FORMULADA PELO TRIBUNAL DE JUSTIÇA LOCAL QUE, ALÉM DE DESCARACTERIZAREM O PROJETO ORIGINAL, NÃO GUARDAM RELAÇÃO DE PERTINÊNCIA (AFINIDADE LÓGICA) COM A PROPOSIÇÃO INICIAL – A QUESTÃO DAS EMENDAS PARLAMENTARES A PROJETOS DE INICIATIVA RESERVADA A OUTROS PODERES DO ESTADO – POSSIBILIDADE – LIMITAÇÕES QUE INCIDEM SOBRE O PODER DE EMENDAR PROPOSIÇÕES LEGISLATIVAS – DOUTRINA – PRECEDENTES – REAFIRMAÇÃO DA JURISPRUDÊNCIA CONSOLIDADA, NO TEMA, PELO SUPREMO TRIBUNAL FEDERAL – PARECER DA PROCURADORIA-GERAL DA REPÚBLICA PELA INCONSTITUCIONALIDADE DOS ATOS NORMATIVOS QUESTIONADOS – AÇÃO DIRETA PARCIALMENTE PREJUDICADA E, NA PARTE REMANESCENTE,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w:t>
      </w:r>
      <w:r w:rsidRPr="00BA52E0">
        <w:rPr>
          <w:rFonts w:ascii="Courier New" w:hAnsi="Courier New" w:cs="Courier New"/>
        </w:rPr>
        <w:t>RTJ</w:t>
      </w:r>
      <w:r w:rsidRPr="00BA52E0">
        <w:rPr>
          <w:rFonts w:ascii="Courier New" w:hAnsi="Courier New" w:cs="Courier New"/>
        </w:rPr>
        <w:t xml:space="preserve"> 36/382, 385 – </w:t>
      </w:r>
      <w:r w:rsidRPr="00BA52E0">
        <w:rPr>
          <w:rFonts w:ascii="Courier New" w:hAnsi="Courier New" w:cs="Courier New"/>
        </w:rPr>
        <w:t>RTJ</w:t>
      </w:r>
      <w:r w:rsidRPr="00BA52E0">
        <w:rPr>
          <w:rFonts w:ascii="Courier New" w:hAnsi="Courier New" w:cs="Courier New"/>
        </w:rPr>
        <w:t xml:space="preserve"> 37/113 – </w:t>
      </w:r>
      <w:r w:rsidRPr="00BA52E0">
        <w:rPr>
          <w:rFonts w:ascii="Courier New" w:hAnsi="Courier New" w:cs="Courier New"/>
        </w:rPr>
        <w:t>RDA</w:t>
      </w:r>
      <w:r w:rsidRPr="00BA52E0">
        <w:rPr>
          <w:rFonts w:ascii="Courier New" w:hAnsi="Courier New" w:cs="Courier New"/>
        </w:rPr>
        <w:t xml:space="preserve"> 102/261), pode ser legitimamente exercida pelos membros do Legislativo, ainda que se cuide de proposições constitucionalmente sujeitas à cláusula de reserva de iniciativa, desde que – respeitadas as limitações estabelecidas na Constituição da </w:t>
      </w:r>
      <w:r w:rsidRPr="00BA52E0">
        <w:rPr>
          <w:rFonts w:ascii="Courier New" w:hAnsi="Courier New" w:cs="Courier New"/>
        </w:rPr>
        <w:t>Republica</w:t>
      </w:r>
      <w:r w:rsidRPr="00BA52E0">
        <w:rPr>
          <w:rFonts w:ascii="Courier New" w:hAnsi="Courier New" w:cs="Courier New"/>
        </w:rPr>
        <w:t xml:space="preserve"> – as emendas parlamentares (a) não importem em aumento da despesa prevista no projeto de lei e (b) guardem afinidade </w:t>
      </w:r>
      <w:r w:rsidRPr="00BA52E0">
        <w:rPr>
          <w:rFonts w:ascii="Courier New" w:hAnsi="Courier New" w:cs="Courier New"/>
        </w:rPr>
        <w:t>lógica com a proposição original (vínculo de pertinência). Doutrina. Jurisprudência. – Inobservância, no caso, de tais restrições, quando do oferecimento das emendas parlamentares, pelos Deputados Estaduais.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w:t>
      </w:r>
      <w:r>
        <w:rPr>
          <w:rFonts w:ascii="Courier New" w:hAnsi="Courier New" w:cs="Courier New"/>
        </w:rPr>
        <w:t xml:space="preserve"> </w:t>
      </w:r>
      <w:r w:rsidRPr="00BA52E0">
        <w:rPr>
          <w:rFonts w:ascii="Courier New" w:hAnsi="Courier New" w:cs="Courier New"/>
        </w:rPr>
        <w:t>(STF - ADI: 3517 PR, Relator: CELSO DE MELLO, Data de Julgamento: 17/10/2018, Tribunal Pleno, Data de Publicação: 25/06/2019)</w:t>
      </w:r>
    </w:p>
    <w:p w:rsidR="00BA52E0" w:rsidRPr="00BA52E0" w:rsidP="00BA52E0" w14:paraId="3BC8C0B3" w14:textId="77777777">
      <w:pPr>
        <w:spacing w:before="120" w:after="120" w:line="276" w:lineRule="auto"/>
        <w:ind w:firstLine="567"/>
        <w:jc w:val="both"/>
        <w:rPr>
          <w:rFonts w:ascii="Courier New" w:hAnsi="Courier New" w:cs="Courier New"/>
          <w:sz w:val="22"/>
          <w:szCs w:val="22"/>
        </w:rPr>
      </w:pPr>
    </w:p>
    <w:p w:rsidR="00BA52E0" w:rsidRPr="00BA52E0" w:rsidP="00BA52E0" w14:paraId="06E82591" w14:textId="77777777">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 xml:space="preserve">No que tange ao entendimento da doutrina especializada, o professor </w:t>
      </w:r>
      <w:r w:rsidRPr="00BA52E0">
        <w:rPr>
          <w:rFonts w:ascii="Courier New" w:hAnsi="Courier New" w:cs="Courier New"/>
          <w:b/>
          <w:bCs/>
          <w:sz w:val="22"/>
          <w:szCs w:val="22"/>
        </w:rPr>
        <w:t>Thiago Marrara</w:t>
      </w:r>
      <w:r w:rsidRPr="00BA52E0">
        <w:rPr>
          <w:rFonts w:ascii="Courier New" w:hAnsi="Courier New" w:cs="Courier New"/>
          <w:sz w:val="22"/>
          <w:szCs w:val="22"/>
        </w:rPr>
        <w:t xml:space="preserve"> destaca que o planejamento deve oferecer comodidades aos cidadãos através da "administração prestativa":</w:t>
      </w:r>
    </w:p>
    <w:p w:rsidR="003C481D" w:rsidP="00010A9F" w14:paraId="63E6703E" w14:textId="77777777">
      <w:pPr>
        <w:spacing w:before="120" w:after="120" w:line="276" w:lineRule="auto"/>
        <w:ind w:firstLine="567"/>
        <w:jc w:val="both"/>
        <w:rPr>
          <w:rFonts w:ascii="Courier New" w:hAnsi="Courier New" w:cs="Courier New"/>
          <w:sz w:val="22"/>
          <w:szCs w:val="22"/>
        </w:rPr>
      </w:pPr>
    </w:p>
    <w:p w:rsidR="00BA52E0" w:rsidRPr="00FF0373" w:rsidP="00BA52E0" w14:paraId="24C1C37E" w14:textId="6C9A4D53">
      <w:pPr>
        <w:pBdr>
          <w:left w:val="single" w:sz="4" w:space="4" w:color="auto"/>
          <w:right w:val="single" w:sz="4" w:space="4" w:color="auto"/>
        </w:pBdr>
        <w:ind w:left="2268"/>
        <w:jc w:val="both"/>
        <w:rPr>
          <w:rFonts w:ascii="Courier New" w:hAnsi="Courier New" w:cs="Courier New"/>
        </w:rPr>
      </w:pPr>
      <w:r w:rsidRPr="007765FE">
        <w:rPr>
          <w:rFonts w:ascii="Courier New" w:hAnsi="Courier New" w:cs="Courier New"/>
        </w:rPr>
        <w:t>"Se o Estado ocidental – de cunho racional, legalista e democrático – deve ser um Estado planejador de suas ações prestativas, restritivas ou interventivas, então não há como se conceber que o direito administrativo como direito da Administração Pública ignore o planejamento e seus resultados. Tal como o processo administrativo, o ato administrativo e o contrato administrativo, o planejamento se insere nas formas de atuação do Estado quer para restringir a vida dos cidadãos com base em um interesse público maior (‘administração restritiva’), quer para oferecer comodidades aos cidadãos (‘administração prestativa’)."</w:t>
      </w:r>
      <w:r>
        <w:rPr>
          <w:rFonts w:ascii="Courier New" w:hAnsi="Courier New" w:cs="Courier New"/>
        </w:rPr>
        <w:t xml:space="preserve"> (</w:t>
      </w:r>
      <w:r w:rsidRPr="007765FE">
        <w:rPr>
          <w:rFonts w:ascii="Courier New" w:hAnsi="Courier New" w:cs="Courier New"/>
        </w:rPr>
        <w:t>MARRARA, Thiago. Manual de Direito Administrativo. Volume 2. 5. ed. Indaiatuba: Editora Foco, 2025</w:t>
      </w:r>
      <w:r>
        <w:rPr>
          <w:rFonts w:ascii="Courier New" w:hAnsi="Courier New" w:cs="Courier New"/>
        </w:rPr>
        <w:t>).</w:t>
      </w:r>
    </w:p>
    <w:p w:rsidR="00BA52E0" w:rsidP="00010A9F" w14:paraId="772D380A" w14:textId="77777777">
      <w:pPr>
        <w:spacing w:before="120" w:after="120" w:line="276" w:lineRule="auto"/>
        <w:ind w:firstLine="567"/>
        <w:jc w:val="both"/>
        <w:rPr>
          <w:rFonts w:ascii="Courier New" w:hAnsi="Courier New" w:cs="Courier New"/>
          <w:sz w:val="22"/>
          <w:szCs w:val="22"/>
        </w:rPr>
      </w:pPr>
    </w:p>
    <w:p w:rsidR="003C481D" w:rsidRPr="00FF0373" w:rsidP="00010A9F" w14:paraId="45C707E8" w14:textId="6FB2F372">
      <w:pPr>
        <w:spacing w:before="120" w:after="120" w:line="276" w:lineRule="auto"/>
        <w:ind w:firstLine="567"/>
        <w:jc w:val="both"/>
        <w:rPr>
          <w:rFonts w:ascii="Courier New" w:hAnsi="Courier New" w:cs="Courier New"/>
          <w:sz w:val="22"/>
          <w:szCs w:val="22"/>
        </w:rPr>
      </w:pPr>
      <w:r w:rsidRPr="00BA52E0">
        <w:rPr>
          <w:rFonts w:ascii="Courier New" w:hAnsi="Courier New" w:cs="Courier New"/>
          <w:sz w:val="22"/>
          <w:szCs w:val="22"/>
        </w:rPr>
        <w:t>Pelo exposto, acreditando na humanidade existente em cada Edil e na urgência de retirar os cidadãos do Vergel do relento, submetemos esta emenda à apreciação dos nobres pares.</w:t>
      </w:r>
    </w:p>
    <w:sectPr w:rsidSect="00701315">
      <w:type w:val="continuous"/>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245209" w:rsidRPr="00962D1C" w:rsidP="00962D1C" w14:paraId="6F3CD22F" w14:textId="3CCE6C0F">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2113146236" name="Imagem 211314623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3878219D"/>
    <w:multiLevelType w:val="hybridMultilevel"/>
    <w:tmpl w:val="B966F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25F4B6E"/>
    <w:multiLevelType w:val="hybridMultilevel"/>
    <w:tmpl w:val="FF5AD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F2C01"/>
    <w:multiLevelType w:val="hybridMultilevel"/>
    <w:tmpl w:val="B4384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0"/>
  </w:num>
  <w:num w:numId="2">
    <w:abstractNumId w:val="11"/>
  </w:num>
  <w:num w:numId="3">
    <w:abstractNumId w:val="8"/>
  </w:num>
  <w:num w:numId="4">
    <w:abstractNumId w:val="5"/>
  </w:num>
  <w:num w:numId="5">
    <w:abstractNumId w:val="0"/>
  </w:num>
  <w:num w:numId="6">
    <w:abstractNumId w:val="9"/>
  </w:num>
  <w:num w:numId="7">
    <w:abstractNumId w:val="3"/>
  </w:num>
  <w:num w:numId="8">
    <w:abstractNumId w:val="7"/>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76553"/>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150D7"/>
    <w:rsid w:val="00241452"/>
    <w:rsid w:val="0024425A"/>
    <w:rsid w:val="00245209"/>
    <w:rsid w:val="00257241"/>
    <w:rsid w:val="0027575E"/>
    <w:rsid w:val="00296637"/>
    <w:rsid w:val="00296EA6"/>
    <w:rsid w:val="002B572E"/>
    <w:rsid w:val="002C14C0"/>
    <w:rsid w:val="002C4498"/>
    <w:rsid w:val="002C7885"/>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62255"/>
    <w:rsid w:val="00374AF7"/>
    <w:rsid w:val="00386202"/>
    <w:rsid w:val="003A0C73"/>
    <w:rsid w:val="003C0F80"/>
    <w:rsid w:val="003C4623"/>
    <w:rsid w:val="003C481D"/>
    <w:rsid w:val="003E0416"/>
    <w:rsid w:val="00401038"/>
    <w:rsid w:val="00402140"/>
    <w:rsid w:val="00417F20"/>
    <w:rsid w:val="00426E1A"/>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C20CF"/>
    <w:rsid w:val="005C5121"/>
    <w:rsid w:val="005C6DDC"/>
    <w:rsid w:val="005D014E"/>
    <w:rsid w:val="005D1A64"/>
    <w:rsid w:val="005E33D2"/>
    <w:rsid w:val="005F4015"/>
    <w:rsid w:val="005F4D88"/>
    <w:rsid w:val="00605473"/>
    <w:rsid w:val="00612EC2"/>
    <w:rsid w:val="006267C8"/>
    <w:rsid w:val="00630AC8"/>
    <w:rsid w:val="006319D1"/>
    <w:rsid w:val="00634822"/>
    <w:rsid w:val="00634D61"/>
    <w:rsid w:val="0063784A"/>
    <w:rsid w:val="00657DB6"/>
    <w:rsid w:val="0066388F"/>
    <w:rsid w:val="0068334C"/>
    <w:rsid w:val="0068590A"/>
    <w:rsid w:val="0069350C"/>
    <w:rsid w:val="006B2CD0"/>
    <w:rsid w:val="006B701B"/>
    <w:rsid w:val="006C005D"/>
    <w:rsid w:val="006C3627"/>
    <w:rsid w:val="006C51EA"/>
    <w:rsid w:val="006D01AE"/>
    <w:rsid w:val="006D31CD"/>
    <w:rsid w:val="006D56EE"/>
    <w:rsid w:val="006E31FD"/>
    <w:rsid w:val="006F1586"/>
    <w:rsid w:val="006F3588"/>
    <w:rsid w:val="00701315"/>
    <w:rsid w:val="00704898"/>
    <w:rsid w:val="00720772"/>
    <w:rsid w:val="007214E8"/>
    <w:rsid w:val="007256BA"/>
    <w:rsid w:val="00727359"/>
    <w:rsid w:val="00744EB9"/>
    <w:rsid w:val="00744EFF"/>
    <w:rsid w:val="00747418"/>
    <w:rsid w:val="00747F3E"/>
    <w:rsid w:val="007571D2"/>
    <w:rsid w:val="007621F4"/>
    <w:rsid w:val="007765FE"/>
    <w:rsid w:val="007851AB"/>
    <w:rsid w:val="0078781A"/>
    <w:rsid w:val="00792F39"/>
    <w:rsid w:val="007A3234"/>
    <w:rsid w:val="007A702D"/>
    <w:rsid w:val="007C7F52"/>
    <w:rsid w:val="007E3DC3"/>
    <w:rsid w:val="007F5BB3"/>
    <w:rsid w:val="007F5C92"/>
    <w:rsid w:val="007F648B"/>
    <w:rsid w:val="008060C7"/>
    <w:rsid w:val="00806639"/>
    <w:rsid w:val="00815F08"/>
    <w:rsid w:val="008252BC"/>
    <w:rsid w:val="00826BB5"/>
    <w:rsid w:val="0084452E"/>
    <w:rsid w:val="0087229F"/>
    <w:rsid w:val="008844E4"/>
    <w:rsid w:val="00891B93"/>
    <w:rsid w:val="008A0234"/>
    <w:rsid w:val="008A26DA"/>
    <w:rsid w:val="008A7123"/>
    <w:rsid w:val="008C2FCC"/>
    <w:rsid w:val="008C42BB"/>
    <w:rsid w:val="008D0052"/>
    <w:rsid w:val="008D10B2"/>
    <w:rsid w:val="008E2705"/>
    <w:rsid w:val="00923162"/>
    <w:rsid w:val="009269AB"/>
    <w:rsid w:val="0094153C"/>
    <w:rsid w:val="00946A63"/>
    <w:rsid w:val="00954EDC"/>
    <w:rsid w:val="00962D1C"/>
    <w:rsid w:val="00986774"/>
    <w:rsid w:val="00991752"/>
    <w:rsid w:val="009974FC"/>
    <w:rsid w:val="009A34E3"/>
    <w:rsid w:val="009B5BE4"/>
    <w:rsid w:val="009F6628"/>
    <w:rsid w:val="00A164B8"/>
    <w:rsid w:val="00A23C0E"/>
    <w:rsid w:val="00A331D9"/>
    <w:rsid w:val="00A42886"/>
    <w:rsid w:val="00A442EC"/>
    <w:rsid w:val="00A47FF5"/>
    <w:rsid w:val="00A56606"/>
    <w:rsid w:val="00A57636"/>
    <w:rsid w:val="00A72861"/>
    <w:rsid w:val="00A8211F"/>
    <w:rsid w:val="00A83754"/>
    <w:rsid w:val="00A946B4"/>
    <w:rsid w:val="00A95CC5"/>
    <w:rsid w:val="00A97D4E"/>
    <w:rsid w:val="00AA148D"/>
    <w:rsid w:val="00AA44DC"/>
    <w:rsid w:val="00AB501C"/>
    <w:rsid w:val="00AC39E3"/>
    <w:rsid w:val="00AC48D4"/>
    <w:rsid w:val="00AC4BBE"/>
    <w:rsid w:val="00AD4535"/>
    <w:rsid w:val="00AE1FD1"/>
    <w:rsid w:val="00AE21BC"/>
    <w:rsid w:val="00AE6E36"/>
    <w:rsid w:val="00AF2404"/>
    <w:rsid w:val="00B11CFB"/>
    <w:rsid w:val="00B1217C"/>
    <w:rsid w:val="00B24068"/>
    <w:rsid w:val="00B244CB"/>
    <w:rsid w:val="00B30920"/>
    <w:rsid w:val="00B36175"/>
    <w:rsid w:val="00B41012"/>
    <w:rsid w:val="00B57E9C"/>
    <w:rsid w:val="00B61FB6"/>
    <w:rsid w:val="00B62CC6"/>
    <w:rsid w:val="00B638BB"/>
    <w:rsid w:val="00B75636"/>
    <w:rsid w:val="00B859E6"/>
    <w:rsid w:val="00B85B25"/>
    <w:rsid w:val="00B90DF4"/>
    <w:rsid w:val="00B97728"/>
    <w:rsid w:val="00BA52E0"/>
    <w:rsid w:val="00BD12F2"/>
    <w:rsid w:val="00BD21C3"/>
    <w:rsid w:val="00BE07EE"/>
    <w:rsid w:val="00BE3319"/>
    <w:rsid w:val="00BE50D2"/>
    <w:rsid w:val="00C04FE4"/>
    <w:rsid w:val="00C06C42"/>
    <w:rsid w:val="00C174B3"/>
    <w:rsid w:val="00C211AD"/>
    <w:rsid w:val="00C2517C"/>
    <w:rsid w:val="00C27C97"/>
    <w:rsid w:val="00C31D75"/>
    <w:rsid w:val="00C372C4"/>
    <w:rsid w:val="00C41F1E"/>
    <w:rsid w:val="00C421B1"/>
    <w:rsid w:val="00C60FDE"/>
    <w:rsid w:val="00C73C43"/>
    <w:rsid w:val="00C93A58"/>
    <w:rsid w:val="00C93D77"/>
    <w:rsid w:val="00C95BB4"/>
    <w:rsid w:val="00CA4CE7"/>
    <w:rsid w:val="00CC385D"/>
    <w:rsid w:val="00CC4ACB"/>
    <w:rsid w:val="00CD7AA0"/>
    <w:rsid w:val="00CF4DAC"/>
    <w:rsid w:val="00D168E9"/>
    <w:rsid w:val="00D208C4"/>
    <w:rsid w:val="00D30EC1"/>
    <w:rsid w:val="00D33B3A"/>
    <w:rsid w:val="00D34085"/>
    <w:rsid w:val="00D464E5"/>
    <w:rsid w:val="00D550D7"/>
    <w:rsid w:val="00D64727"/>
    <w:rsid w:val="00D706B5"/>
    <w:rsid w:val="00D73096"/>
    <w:rsid w:val="00D80661"/>
    <w:rsid w:val="00D878CD"/>
    <w:rsid w:val="00DA1EBB"/>
    <w:rsid w:val="00DC0E98"/>
    <w:rsid w:val="00DD1C8A"/>
    <w:rsid w:val="00DD1D31"/>
    <w:rsid w:val="00DD36B8"/>
    <w:rsid w:val="00DD547B"/>
    <w:rsid w:val="00DD6EBC"/>
    <w:rsid w:val="00DF1018"/>
    <w:rsid w:val="00DF249B"/>
    <w:rsid w:val="00E144CB"/>
    <w:rsid w:val="00E14DC4"/>
    <w:rsid w:val="00E26DB0"/>
    <w:rsid w:val="00E313E0"/>
    <w:rsid w:val="00E33757"/>
    <w:rsid w:val="00E44090"/>
    <w:rsid w:val="00E4672A"/>
    <w:rsid w:val="00E46ECB"/>
    <w:rsid w:val="00E52FF0"/>
    <w:rsid w:val="00E66BA2"/>
    <w:rsid w:val="00E76B17"/>
    <w:rsid w:val="00E86F30"/>
    <w:rsid w:val="00E96597"/>
    <w:rsid w:val="00EA5CF5"/>
    <w:rsid w:val="00EB5B27"/>
    <w:rsid w:val="00EB727B"/>
    <w:rsid w:val="00EE21B7"/>
    <w:rsid w:val="00EE29C1"/>
    <w:rsid w:val="00EF46EB"/>
    <w:rsid w:val="00F3579D"/>
    <w:rsid w:val="00F41235"/>
    <w:rsid w:val="00F518ED"/>
    <w:rsid w:val="00F554E4"/>
    <w:rsid w:val="00F65A30"/>
    <w:rsid w:val="00F87F27"/>
    <w:rsid w:val="00FA5381"/>
    <w:rsid w:val="00FB3B48"/>
    <w:rsid w:val="00FC3520"/>
    <w:rsid w:val="00FC7119"/>
    <w:rsid w:val="00FF0373"/>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2E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Pages>
  <Words>1834</Words>
  <Characters>9909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56</cp:revision>
  <cp:lastPrinted>2026-05-19T19:41:02Z</cp:lastPrinted>
  <dcterms:created xsi:type="dcterms:W3CDTF">2026-01-09T01:35:00Z</dcterms:created>
  <dcterms:modified xsi:type="dcterms:W3CDTF">2026-05-19T16:10:00Z</dcterms:modified>
</cp:coreProperties>
</file>