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020022" w:rsidP="005C5121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020022">
        <w:rPr>
          <w:rFonts w:ascii="Courier New" w:hAnsi="Courier New" w:cs="Courier New"/>
          <w:b/>
          <w:bCs/>
          <w:kern w:val="3"/>
          <w:sz w:val="24"/>
          <w:szCs w:val="24"/>
        </w:rPr>
        <w:t>Emenda Nº 3 ao Projeto de Lei Complementar Nº 7/2026</w:t>
      </w:r>
      <w:r w:rsidRPr="00020022">
        <w:rPr>
          <w:rFonts w:ascii="Courier New" w:hAnsi="Courier New" w:cs="Courier New"/>
          <w:b/>
          <w:bCs/>
          <w:kern w:val="3"/>
          <w:sz w:val="24"/>
          <w:szCs w:val="24"/>
        </w:rPr>
        <w:t>Emenda Nº 3 ao Projeto de Lei Complementar Nº 7/2026</w:t>
      </w:r>
    </w:p>
    <w:p w:rsidR="005C5121" w:rsidRPr="00020022" w:rsidP="005C5121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020022" w:rsidP="00FA793A" w14:paraId="47787FDB" w14:textId="279043F4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020022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(EMENDA </w:t>
      </w:r>
      <w:r w:rsidRPr="00020022" w:rsidR="00FA793A">
        <w:rPr>
          <w:rFonts w:ascii="Courier New" w:hAnsi="Courier New" w:cs="Courier New"/>
          <w:i/>
          <w:iCs/>
          <w:kern w:val="3"/>
          <w:sz w:val="22"/>
          <w:szCs w:val="22"/>
        </w:rPr>
        <w:t>ADITIVA</w:t>
      </w:r>
      <w:r w:rsidRPr="00020022" w:rsidR="0068334C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</w:t>
      </w:r>
      <w:r w:rsidRPr="00020022">
        <w:rPr>
          <w:rFonts w:ascii="Courier New" w:hAnsi="Courier New" w:cs="Courier New"/>
          <w:i/>
          <w:iCs/>
          <w:kern w:val="3"/>
          <w:sz w:val="22"/>
          <w:szCs w:val="22"/>
        </w:rPr>
        <w:t>AO PROJETO DE LEI</w:t>
      </w:r>
      <w:r w:rsidRPr="00020022" w:rsidR="0035352F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COMPLEMENTAR</w:t>
      </w:r>
      <w:r w:rsidRPr="00020022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Nº 0</w:t>
      </w:r>
      <w:r w:rsidRPr="00020022" w:rsidR="00CA126A">
        <w:rPr>
          <w:rFonts w:ascii="Courier New" w:hAnsi="Courier New" w:cs="Courier New"/>
          <w:i/>
          <w:iCs/>
          <w:kern w:val="3"/>
          <w:sz w:val="22"/>
          <w:szCs w:val="22"/>
        </w:rPr>
        <w:t>7</w:t>
      </w:r>
      <w:r w:rsidRPr="00020022">
        <w:rPr>
          <w:rFonts w:ascii="Courier New" w:hAnsi="Courier New" w:cs="Courier New"/>
          <w:i/>
          <w:iCs/>
          <w:kern w:val="3"/>
          <w:sz w:val="22"/>
          <w:szCs w:val="22"/>
        </w:rPr>
        <w:t>/2026)</w:t>
      </w:r>
    </w:p>
    <w:p w:rsidR="00CA126A" w:rsidRPr="00020022" w:rsidP="005C5121" w14:paraId="3DDCD757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020022" w:rsidP="005C5121" w14:paraId="433DB247" w14:textId="2C459E06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>Adiciona</w:t>
      </w:r>
      <w:r w:rsidRPr="00020022" w:rsidR="005C5121">
        <w:rPr>
          <w:rFonts w:ascii="Courier New" w:hAnsi="Courier New" w:cs="Courier New"/>
          <w:sz w:val="22"/>
          <w:szCs w:val="22"/>
        </w:rPr>
        <w:t xml:space="preserve"> </w:t>
      </w:r>
      <w:r w:rsidRPr="00020022">
        <w:rPr>
          <w:rFonts w:ascii="Courier New" w:hAnsi="Courier New" w:cs="Courier New"/>
          <w:sz w:val="22"/>
          <w:szCs w:val="22"/>
        </w:rPr>
        <w:t>a</w:t>
      </w:r>
      <w:r w:rsidRPr="00020022" w:rsidR="005C5121">
        <w:rPr>
          <w:rFonts w:ascii="Courier New" w:hAnsi="Courier New" w:cs="Courier New"/>
          <w:sz w:val="22"/>
          <w:szCs w:val="22"/>
        </w:rPr>
        <w:t>o Artigo 1º do Projeto de Lei Complementar nº 0</w:t>
      </w:r>
      <w:r w:rsidRPr="00020022" w:rsidR="00CA126A">
        <w:rPr>
          <w:rFonts w:ascii="Courier New" w:hAnsi="Courier New" w:cs="Courier New"/>
          <w:sz w:val="22"/>
          <w:szCs w:val="22"/>
        </w:rPr>
        <w:t>7</w:t>
      </w:r>
      <w:r w:rsidRPr="00020022" w:rsidR="005C5121">
        <w:rPr>
          <w:rFonts w:ascii="Courier New" w:hAnsi="Courier New" w:cs="Courier New"/>
          <w:sz w:val="22"/>
          <w:szCs w:val="22"/>
        </w:rPr>
        <w:t xml:space="preserve">/2026, que </w:t>
      </w:r>
      <w:r w:rsidRPr="00020022" w:rsidR="00CA126A">
        <w:rPr>
          <w:rFonts w:ascii="Courier New" w:hAnsi="Courier New" w:cs="Courier New"/>
          <w:sz w:val="22"/>
          <w:szCs w:val="22"/>
        </w:rPr>
        <w:t xml:space="preserve">altera </w:t>
      </w:r>
      <w:r w:rsidRPr="00020022" w:rsidR="005C5121">
        <w:rPr>
          <w:rFonts w:ascii="Courier New" w:hAnsi="Courier New" w:cs="Courier New"/>
          <w:sz w:val="22"/>
          <w:szCs w:val="22"/>
        </w:rPr>
        <w:t>ao Art. 8º da Lei Complementar nº 392/2025</w:t>
      </w:r>
      <w:r w:rsidRPr="00020022" w:rsidR="0068334C">
        <w:rPr>
          <w:rFonts w:ascii="Courier New" w:hAnsi="Courier New" w:cs="Courier New"/>
          <w:sz w:val="22"/>
          <w:szCs w:val="22"/>
        </w:rPr>
        <w:t xml:space="preserve">, </w:t>
      </w:r>
      <w:r w:rsidRPr="00020022">
        <w:rPr>
          <w:rFonts w:ascii="Courier New" w:hAnsi="Courier New" w:cs="Courier New"/>
          <w:sz w:val="22"/>
          <w:szCs w:val="22"/>
        </w:rPr>
        <w:t>os parágrafos §§ 1º, 2º, 3º</w:t>
      </w:r>
      <w:r w:rsidRPr="00020022" w:rsidR="00020022">
        <w:rPr>
          <w:rFonts w:ascii="Courier New" w:hAnsi="Courier New" w:cs="Courier New"/>
          <w:sz w:val="22"/>
          <w:szCs w:val="22"/>
        </w:rPr>
        <w:t xml:space="preserve"> e</w:t>
      </w:r>
      <w:r w:rsidRPr="00020022">
        <w:rPr>
          <w:rFonts w:ascii="Courier New" w:hAnsi="Courier New" w:cs="Courier New"/>
          <w:sz w:val="22"/>
          <w:szCs w:val="22"/>
        </w:rPr>
        <w:t xml:space="preserve"> 4º</w:t>
      </w:r>
      <w:r w:rsidRPr="00020022" w:rsidR="00020022">
        <w:rPr>
          <w:rFonts w:ascii="Courier New" w:hAnsi="Courier New" w:cs="Courier New"/>
          <w:sz w:val="22"/>
          <w:szCs w:val="22"/>
        </w:rPr>
        <w:t>, renumerando o</w:t>
      </w:r>
      <w:r w:rsidR="00B646A7">
        <w:rPr>
          <w:rFonts w:ascii="Courier New" w:hAnsi="Courier New" w:cs="Courier New"/>
          <w:sz w:val="22"/>
          <w:szCs w:val="22"/>
        </w:rPr>
        <w:t xml:space="preserve"> parágrafo único em §5º consequentemente,</w:t>
      </w:r>
      <w:r w:rsidRPr="00020022" w:rsidR="00020022">
        <w:rPr>
          <w:rFonts w:ascii="Courier New" w:hAnsi="Courier New" w:cs="Courier New"/>
          <w:sz w:val="22"/>
          <w:szCs w:val="22"/>
        </w:rPr>
        <w:t xml:space="preserve"> </w:t>
      </w:r>
      <w:r w:rsidRPr="00020022" w:rsidR="0068334C">
        <w:rPr>
          <w:rFonts w:ascii="Courier New" w:hAnsi="Courier New" w:cs="Courier New"/>
          <w:sz w:val="22"/>
          <w:szCs w:val="22"/>
        </w:rPr>
        <w:t>passando a vigorar com a seguinte redação</w:t>
      </w:r>
      <w:r w:rsidRPr="00020022">
        <w:rPr>
          <w:rFonts w:ascii="Courier New" w:hAnsi="Courier New" w:cs="Courier New"/>
          <w:sz w:val="22"/>
          <w:szCs w:val="22"/>
        </w:rPr>
        <w:t>:</w:t>
      </w:r>
    </w:p>
    <w:p w:rsidR="00465074" w:rsidRPr="00020022" w:rsidP="005C5121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5C5121" w:rsidRPr="00020022" w:rsidP="005C5121" w14:paraId="38FE0FD7" w14:textId="49587B70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>“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Art. 1º.</w:t>
      </w:r>
      <w:r w:rsidRPr="00020022">
        <w:rPr>
          <w:rFonts w:ascii="Courier New" w:hAnsi="Courier New" w:cs="Courier New"/>
          <w:sz w:val="22"/>
          <w:szCs w:val="22"/>
        </w:rPr>
        <w:t xml:space="preserve"> O art. 8º da Lei Complementar nº 392, de 30 de setembro de 2025, passa a viger </w:t>
      </w:r>
      <w:r w:rsidRPr="00020022" w:rsidR="00CA126A">
        <w:rPr>
          <w:rFonts w:ascii="Courier New" w:hAnsi="Courier New" w:cs="Courier New"/>
          <w:sz w:val="22"/>
          <w:szCs w:val="22"/>
        </w:rPr>
        <w:t>com a seguinte redação</w:t>
      </w:r>
      <w:r w:rsidRPr="00020022">
        <w:rPr>
          <w:rFonts w:ascii="Courier New" w:hAnsi="Courier New" w:cs="Courier New"/>
          <w:sz w:val="22"/>
          <w:szCs w:val="22"/>
        </w:rPr>
        <w:t>:</w:t>
      </w:r>
    </w:p>
    <w:p w:rsidR="00FA793A" w:rsidRPr="00020022" w:rsidP="00020022" w14:paraId="52D45BB8" w14:textId="57BA0ACF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‘</w:t>
      </w:r>
      <w:r w:rsidRPr="00020022" w:rsidR="00CA126A">
        <w:rPr>
          <w:rFonts w:ascii="Courier New" w:hAnsi="Courier New" w:cs="Courier New"/>
          <w:b/>
          <w:bCs/>
          <w:i/>
          <w:iCs/>
          <w:sz w:val="22"/>
          <w:szCs w:val="22"/>
        </w:rPr>
        <w:t>Art. 8º</w:t>
      </w:r>
      <w:r w:rsidRPr="00020022" w:rsidR="00CA126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020022">
        <w:rPr>
          <w:rFonts w:ascii="Courier New" w:hAnsi="Courier New" w:cs="Courier New"/>
          <w:i/>
          <w:iCs/>
          <w:sz w:val="22"/>
          <w:szCs w:val="22"/>
        </w:rPr>
        <w:t>[...]</w:t>
      </w:r>
    </w:p>
    <w:p w:rsidR="00CA126A" w:rsidRPr="00020022" w:rsidP="00020022" w14:paraId="3442AD55" w14:textId="48632A50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§1º</w:t>
      </w: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 Não se enquadram como subutilizados os imóveis de uso residencial efetivo, ainda que com baixa densidade construtiva, desde que:</w:t>
      </w:r>
    </w:p>
    <w:p w:rsidR="00CA126A" w:rsidRPr="00020022" w:rsidP="00020022" w14:paraId="7D0055A4" w14:textId="05C2DCFD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I –</w:t>
      </w: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 Possuam edificação habitável regularmente cadastrada;</w:t>
      </w:r>
    </w:p>
    <w:p w:rsidR="00CA126A" w:rsidRPr="00020022" w:rsidP="00020022" w14:paraId="10E26486" w14:textId="073FE0BE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II – </w:t>
      </w:r>
      <w:r w:rsidRPr="00020022">
        <w:rPr>
          <w:rFonts w:ascii="Courier New" w:hAnsi="Courier New" w:cs="Courier New"/>
          <w:i/>
          <w:iCs/>
          <w:sz w:val="22"/>
          <w:szCs w:val="22"/>
        </w:rPr>
        <w:t>Sejam utilizados como moradia permanente do contribuinte ou de seu núcleo familiar;</w:t>
      </w:r>
    </w:p>
    <w:p w:rsidR="00CA126A" w:rsidRPr="00020022" w:rsidP="00020022" w14:paraId="58372A8A" w14:textId="0FBF1531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III –</w:t>
      </w: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 Não apresentem finalidade especulativa;</w:t>
      </w:r>
    </w:p>
    <w:p w:rsidR="00CA126A" w:rsidRPr="00020022" w:rsidP="00020022" w14:paraId="5767E35F" w14:textId="069DE50E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IV –</w:t>
      </w: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 Não estejam submetidos a processo de parcelamento, edificação ou utilização compulsória.</w:t>
      </w:r>
    </w:p>
    <w:p w:rsidR="00CA126A" w:rsidRPr="00020022" w:rsidP="00020022" w14:paraId="478A9B4A" w14:textId="4F7722AF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§2º</w:t>
      </w: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 Incluem-se no disposto no §1º os imóveis com características de moradia extensiva, tais como chácaras e unidades residenciais de baixa ocupação.</w:t>
      </w:r>
    </w:p>
    <w:p w:rsidR="00CA126A" w:rsidRPr="00020022" w:rsidP="00020022" w14:paraId="2B742F50" w14:textId="3EF72474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§3º</w:t>
      </w: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 O reconhecimento do enquadramento dependerá de requerimento do contribuinte, devidamente comprovado.</w:t>
      </w:r>
    </w:p>
    <w:p w:rsidR="00465074" w:rsidRPr="00020022" w:rsidP="00020022" w14:paraId="478F5033" w14:textId="4EED7B1F">
      <w:pPr>
        <w:spacing w:before="120" w:after="120" w:line="276" w:lineRule="auto"/>
        <w:ind w:left="284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§4º</w:t>
      </w: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 A Administração Tributária poderá revisar o enquadramento mediante decisão fundamentada, assegurado o contraditório e a ampla defesa.’</w:t>
      </w:r>
      <w:r w:rsidRPr="00020022">
        <w:rPr>
          <w:rFonts w:ascii="Courier New" w:hAnsi="Courier New" w:cs="Courier New"/>
          <w:sz w:val="22"/>
          <w:szCs w:val="22"/>
        </w:rPr>
        <w:t>”</w:t>
      </w:r>
    </w:p>
    <w:p w:rsidR="00CA126A" w:rsidRPr="00020022" w:rsidP="00CA126A" w14:paraId="732D37A5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020022" w:rsidP="005C5121" w14:paraId="60047F74" w14:textId="22BC4037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020022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020022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020022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020022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020022">
        <w:rPr>
          <w:rFonts w:ascii="Courier New" w:hAnsi="Courier New" w:cs="Courier New"/>
          <w:i/>
          <w:iCs/>
          <w:sz w:val="22"/>
          <w:szCs w:val="22"/>
        </w:rPr>
        <w:t>5 de junho de 2026</w:t>
      </w:r>
      <w:r w:rsidRPr="00020022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020022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RPr="00020022" w:rsidP="005C5121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020022" w:rsidP="005C5121" w14:paraId="74A51B15" w14:textId="77777777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RPr="00020022" w:rsidP="005C5121" w14:paraId="7D0CF115" w14:textId="77777777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020022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020022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65074" w:rsidRPr="00020022" w:rsidP="005C5121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1908978" cy="885825"/>
            <wp:effectExtent l="0" t="0" r="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535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96" cy="9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022">
        <w:rPr>
          <w:rFonts w:ascii="Courier New" w:hAnsi="Courier New" w:cs="Courier New"/>
          <w:sz w:val="22"/>
          <w:szCs w:val="22"/>
        </w:rPr>
        <w:br w:type="page"/>
      </w:r>
    </w:p>
    <w:p w:rsidR="00465074" w:rsidRPr="00020022" w:rsidP="005C5121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20022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465074" w:rsidRPr="00020022" w:rsidP="005C5121" w14:paraId="11B56D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E015C" w:rsidP="005C5121" w14:paraId="5940C3EB" w14:textId="77777777">
      <w:pPr>
        <w:spacing w:before="120" w:after="120" w:line="276" w:lineRule="auto"/>
        <w:ind w:firstLine="567"/>
        <w:jc w:val="both"/>
        <w:rPr>
          <w:sz w:val="24"/>
          <w:szCs w:val="24"/>
          <w:lang w:eastAsia="pt-BR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presente emenda visa conferir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justiça social</w:t>
      </w:r>
      <w:r w:rsidRPr="00020022">
        <w:rPr>
          <w:rFonts w:ascii="Courier New" w:hAnsi="Courier New" w:cs="Courier New"/>
          <w:sz w:val="22"/>
          <w:szCs w:val="22"/>
        </w:rPr>
        <w:t xml:space="preserve"> e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equilíbrio urbanístico</w:t>
      </w:r>
      <w:r w:rsidRPr="00020022">
        <w:rPr>
          <w:rFonts w:ascii="Courier New" w:hAnsi="Courier New" w:cs="Courier New"/>
          <w:sz w:val="22"/>
          <w:szCs w:val="22"/>
        </w:rPr>
        <w:t xml:space="preserve"> à proposta de postergação da eficácia d</w:t>
      </w:r>
      <w:r>
        <w:rPr>
          <w:rFonts w:ascii="Courier New" w:hAnsi="Courier New" w:cs="Courier New"/>
          <w:sz w:val="22"/>
          <w:szCs w:val="22"/>
        </w:rPr>
        <w:t xml:space="preserve">a </w:t>
      </w:r>
      <w:r w:rsidRPr="00BE015C">
        <w:rPr>
          <w:rFonts w:ascii="Courier New" w:hAnsi="Courier New" w:cs="Courier New"/>
          <w:sz w:val="22"/>
          <w:szCs w:val="22"/>
        </w:rPr>
        <w:t>alíquota diferenciada/agravada de IPTU por utilização do imóvel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BE015C">
        <w:rPr>
          <w:rFonts w:ascii="Courier New" w:hAnsi="Courier New" w:cs="Courier New"/>
          <w:sz w:val="22"/>
          <w:szCs w:val="22"/>
        </w:rPr>
        <w:t>com finalidade também extrafiscal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020022">
        <w:rPr>
          <w:rFonts w:ascii="Courier New" w:hAnsi="Courier New" w:cs="Courier New"/>
          <w:sz w:val="22"/>
          <w:szCs w:val="22"/>
        </w:rPr>
        <w:t>em Mogi Mirim.</w:t>
      </w:r>
    </w:p>
    <w:p w:rsidR="00574581" w:rsidP="005C5121" w14:paraId="717E8F24" w14:textId="2F55A8A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Salienta-se que n</w:t>
      </w:r>
      <w:r w:rsidRPr="00574581">
        <w:rPr>
          <w:rFonts w:ascii="Courier New" w:hAnsi="Courier New" w:cs="Courier New"/>
          <w:sz w:val="22"/>
          <w:szCs w:val="22"/>
        </w:rPr>
        <w:t>o presente caso, o art. 8º da LC nº 392/2025 trata de alíquota diferenciada/agravada de IPTU aplicada a imóvel edificado considerado subutilizado, por equiparação ao terreno sem edificação, e não do IPTU progressivo no tempo propriamente dito, que está disciplinado nos arts. 34 a 41 da mesma Lei Complementar.</w:t>
      </w:r>
    </w:p>
    <w:p w:rsidR="0035352F" w:rsidRPr="00020022" w:rsidP="005C5121" w14:paraId="07375AA7" w14:textId="0EDEE80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Tem-se que a</w:t>
      </w:r>
      <w:r w:rsidRPr="00020022" w:rsidR="00E313E0">
        <w:rPr>
          <w:rFonts w:ascii="Courier New" w:hAnsi="Courier New" w:cs="Courier New"/>
          <w:sz w:val="22"/>
          <w:szCs w:val="22"/>
        </w:rPr>
        <w:t>o incluir as chácaras e unidades de moradia extensiva no benefício da postergação, o legislador reconhece a peculiaridade urbanística local, onde áreas de baixa ocupação cumprem função social de lazer e habitação, não se confundindo com os vazios urbanos destinados à retenção especulativa.</w:t>
      </w:r>
      <w:r w:rsidRPr="00020022">
        <w:rPr>
          <w:rFonts w:ascii="Courier New" w:hAnsi="Courier New" w:cs="Courier New"/>
          <w:sz w:val="22"/>
          <w:szCs w:val="22"/>
        </w:rPr>
        <w:t xml:space="preserve"> A proposta original do Executivo, ao adiar indistintamente a aplicação da alíquota de 2% para todos os imóveis subutilizados até 2029, acaba por premiar a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especulação imobiliária</w:t>
      </w:r>
      <w:r w:rsidRPr="00020022">
        <w:rPr>
          <w:rFonts w:ascii="Courier New" w:hAnsi="Courier New" w:cs="Courier New"/>
          <w:sz w:val="22"/>
          <w:szCs w:val="22"/>
        </w:rPr>
        <w:t xml:space="preserve"> e desproteger o erário público, em flagrante ofensa à função social da propriedade.</w:t>
      </w:r>
    </w:p>
    <w:p w:rsidR="0035352F" w:rsidRPr="00020022" w:rsidP="005C5121" w14:paraId="50158F7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diferenciação estabelecida nesta emenda não possui caráter meramente arrecadatório, mas sim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extrafiscal</w:t>
      </w:r>
      <w:r w:rsidRPr="00020022">
        <w:rPr>
          <w:rFonts w:ascii="Courier New" w:hAnsi="Courier New" w:cs="Courier New"/>
          <w:sz w:val="22"/>
          <w:szCs w:val="22"/>
        </w:rPr>
        <w:t xml:space="preserve">, visando induzir o comportamento dos grandes proprietários para que deem destinação social ao solo urbano. Tal distinção encontra amparo direto na jurisprudência consolidada do Supremo Tribunal Federal, especificamente na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Súmula 668</w:t>
      </w:r>
      <w:r w:rsidRPr="00020022">
        <w:rPr>
          <w:rFonts w:ascii="Courier New" w:hAnsi="Courier New" w:cs="Courier New"/>
          <w:sz w:val="22"/>
          <w:szCs w:val="22"/>
        </w:rPr>
        <w:t>, que excepciona a progressividade do IPTU quando esta visa o cumprimento da função social:</w:t>
      </w:r>
    </w:p>
    <w:p w:rsidR="0035352F" w:rsidRPr="00020022" w:rsidP="005C5121" w14:paraId="4AAAF25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020022" w:rsidP="005C5121" w14:paraId="5394397F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b/>
          <w:bCs/>
        </w:rPr>
      </w:pPr>
      <w:r w:rsidRPr="00020022">
        <w:rPr>
          <w:rFonts w:ascii="Courier New" w:hAnsi="Courier New" w:cs="Courier New"/>
          <w:b/>
          <w:bCs/>
        </w:rPr>
        <w:t>Súmula 668 do STF</w:t>
      </w:r>
    </w:p>
    <w:p w:rsidR="0035352F" w:rsidRPr="00020022" w:rsidP="005C5121" w14:paraId="06B4B486" w14:textId="48F5A036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20022">
        <w:rPr>
          <w:rFonts w:ascii="Courier New" w:hAnsi="Courier New" w:cs="Courier New"/>
        </w:rPr>
        <w:t xml:space="preserve">É inconstitucional a lei municipal que tenha estabelecido, antes da Emenda Constitucional 29/2000, alíquotas progressivas para o IPTU, </w:t>
      </w:r>
      <w:r w:rsidRPr="00020022">
        <w:rPr>
          <w:rFonts w:ascii="Courier New" w:hAnsi="Courier New" w:cs="Courier New"/>
          <w:b/>
          <w:bCs/>
        </w:rPr>
        <w:t>salvo se destinadas a assegurar o cumprimento da função social da propriedade urbana</w:t>
      </w:r>
      <w:r w:rsidRPr="00020022">
        <w:rPr>
          <w:rFonts w:ascii="Courier New" w:hAnsi="Courier New" w:cs="Courier New"/>
        </w:rPr>
        <w:t>.</w:t>
      </w:r>
    </w:p>
    <w:p w:rsidR="0035352F" w:rsidRPr="00020022" w:rsidP="005C5121" w14:paraId="5E3695E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020022" w:rsidP="005C5121" w14:paraId="2773011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Ao mantermos a eficácia imediata para grandes áreas e pessoas jurídicas, estamos aplicando a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progressividade extrafiscal</w:t>
      </w:r>
      <w:r w:rsidRPr="00020022">
        <w:rPr>
          <w:rFonts w:ascii="Courier New" w:hAnsi="Courier New" w:cs="Courier New"/>
          <w:sz w:val="22"/>
          <w:szCs w:val="22"/>
        </w:rPr>
        <w:t xml:space="preserve"> autorizada pela Suprema Corte, garantindo que o tributo atue como ferramenta de política urbana.</w:t>
      </w:r>
    </w:p>
    <w:p w:rsidR="0035352F" w:rsidRPr="00020022" w:rsidP="005C5121" w14:paraId="3722565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emenda reforça a aplicação dos instrumentos previstos no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Estatuto da Cidade</w:t>
      </w:r>
      <w:r w:rsidRPr="00020022">
        <w:rPr>
          <w:rFonts w:ascii="Courier New" w:hAnsi="Courier New" w:cs="Courier New"/>
          <w:sz w:val="22"/>
          <w:szCs w:val="22"/>
        </w:rPr>
        <w:t>, que impõe ao Município o dever de exigir o aproveitamento adequado do solo. A postergação indiscriminada proposta pelo Executivo esvazia a eficácia dos artigos 5º e 7º da referida Lei Federal:</w:t>
      </w:r>
    </w:p>
    <w:p w:rsidR="0035352F" w:rsidRPr="00020022" w:rsidP="005C5121" w14:paraId="179DC3A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020022" w:rsidP="005C5121" w14:paraId="5FCA2527" w14:textId="3499F1B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20022">
        <w:rPr>
          <w:rFonts w:ascii="Courier New" w:hAnsi="Courier New" w:cs="Courier New"/>
          <w:b/>
          <w:bCs/>
        </w:rPr>
        <w:t xml:space="preserve">Art. 7º. </w:t>
      </w:r>
      <w:r w:rsidRPr="00020022">
        <w:rPr>
          <w:rFonts w:ascii="Courier New" w:hAnsi="Courier New" w:cs="Courier New"/>
        </w:rPr>
        <w:t>Em caso de descumprimento das condições e dos prazos previstos no art. 5º desta Lei, o Município procederá à aplicação do imposto sobre a propriedade predial e territorial urbana (IPTU) progressivo no tempo, mediante a majoração da alíquota pelo prazo de cinco anos consecutivos.</w:t>
      </w:r>
    </w:p>
    <w:p w:rsidR="0035352F" w:rsidRPr="00020022" w:rsidP="005C5121" w14:paraId="41D9A58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14DC4" w:rsidRPr="00020022" w:rsidP="005C5121" w14:paraId="4F73EC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distinção por tamanho e natureza do proprietário aqui proposta respeita a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capacidade contributiva</w:t>
      </w:r>
      <w:r w:rsidRPr="00020022">
        <w:rPr>
          <w:rFonts w:ascii="Courier New" w:hAnsi="Courier New" w:cs="Courier New"/>
          <w:sz w:val="22"/>
          <w:szCs w:val="22"/>
        </w:rPr>
        <w:t xml:space="preserve"> e a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proporcionalidade</w:t>
      </w:r>
      <w:r w:rsidRPr="00020022">
        <w:rPr>
          <w:rFonts w:ascii="Courier New" w:hAnsi="Courier New" w:cs="Courier New"/>
          <w:sz w:val="22"/>
          <w:szCs w:val="22"/>
        </w:rPr>
        <w:t>, evitando que o pequeno proprietário seja atingido abruptamente, enquanto exige responsabilidade imediata daqueles que detêm maior impacto no ordenamento territorial.</w:t>
      </w:r>
    </w:p>
    <w:p w:rsidR="0035352F" w:rsidRPr="00020022" w:rsidP="005C5121" w14:paraId="5486D7CF" w14:textId="1A68CEF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propriedade urbana não é um direito absoluto, mas condicionado ao bem-estar coletivo. O brocardo latino </w:t>
      </w: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Salus populi suprema lex esto</w:t>
      </w:r>
      <w:r w:rsidRPr="00020022">
        <w:rPr>
          <w:rFonts w:ascii="Courier New" w:hAnsi="Courier New" w:cs="Courier New"/>
          <w:sz w:val="22"/>
          <w:szCs w:val="22"/>
        </w:rPr>
        <w:t xml:space="preserve"> (A saúde/bem-estar do povo seja a lei suprema) fundamenta a intervenção estatal para coibir o uso antissocial do solo. </w:t>
      </w:r>
    </w:p>
    <w:p w:rsidR="0035352F" w:rsidRPr="00020022" w:rsidP="005C5121" w14:paraId="5411FFA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doutrina de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Álvaro Barbosa</w:t>
      </w:r>
      <w:r w:rsidRPr="00020022">
        <w:rPr>
          <w:rFonts w:ascii="Courier New" w:hAnsi="Courier New" w:cs="Courier New"/>
          <w:sz w:val="22"/>
          <w:szCs w:val="22"/>
        </w:rPr>
        <w:t xml:space="preserve"> destaca que o IPTU Progressivo é o instrumento sancionatório por excelência contra o descumprimento da função social:</w:t>
      </w:r>
    </w:p>
    <w:p w:rsidR="0035352F" w:rsidRPr="00020022" w:rsidP="005C5121" w14:paraId="71E742C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020022" w:rsidP="005C5121" w14:paraId="2DC2DAF8" w14:textId="08FFE99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20022">
        <w:rPr>
          <w:rFonts w:ascii="Courier New" w:hAnsi="Courier New" w:cs="Courier New"/>
        </w:rPr>
        <w:t>"Obstáculos legais, jurídicos e técnicos têm prejudicado a capacidade do IPTU de produzir níveis satisfatórios de receita, bem como de contribuir para a redução de desigualdades, promoção do ordenamento territorial e combate à especulação imobiliária." (BARBOSA, Álvaro. 5 Considerações Críticas Acerca do Iptu Progressivo no Tempo In: BARBOSA, Álvaro. Desafios para a Efetividade da Função Social da Propriedade Urbana - 2023. Editora Lumen Juris. 2023).</w:t>
      </w:r>
    </w:p>
    <w:p w:rsidR="0035352F" w:rsidRPr="00020022" w:rsidP="005C5121" w14:paraId="1375EAF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020022" w:rsidP="005C5121" w14:paraId="1E150BAA" w14:textId="60FB004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distinção proposta entre o pequeno proprietário e os grandes detentores de terras ampara-se no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Princípio da Capacidade Contributiva</w:t>
      </w:r>
      <w:r w:rsidRPr="00020022">
        <w:rPr>
          <w:rFonts w:ascii="Courier New" w:hAnsi="Courier New" w:cs="Courier New"/>
          <w:sz w:val="22"/>
          <w:szCs w:val="22"/>
        </w:rPr>
        <w:t xml:space="preserve"> (Art. 145, §1º, CF). Tratar desigualmente os desiguais na medida de suas desigualdades é o cerne da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Isonomia Tributária</w:t>
      </w:r>
      <w:r w:rsidRPr="00020022">
        <w:rPr>
          <w:rFonts w:ascii="Courier New" w:hAnsi="Courier New" w:cs="Courier New"/>
          <w:sz w:val="22"/>
          <w:szCs w:val="22"/>
        </w:rPr>
        <w:t xml:space="preserve">. </w:t>
      </w:r>
    </w:p>
    <w:p w:rsidR="0035352F" w:rsidRPr="00020022" w:rsidP="005C5121" w14:paraId="286D375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jurisprudência do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TJ-SP</w:t>
      </w:r>
      <w:r w:rsidRPr="00020022">
        <w:rPr>
          <w:rFonts w:ascii="Courier New" w:hAnsi="Courier New" w:cs="Courier New"/>
          <w:sz w:val="22"/>
          <w:szCs w:val="22"/>
        </w:rPr>
        <w:t xml:space="preserve"> reconhece que critérios de área e localização são legítimos para aferir a capacidade contributiva:</w:t>
      </w:r>
    </w:p>
    <w:p w:rsidR="0035352F" w:rsidRPr="00020022" w:rsidP="005C5121" w14:paraId="19F08B7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020022" w:rsidP="005C5121" w14:paraId="1D779DD6" w14:textId="07F8B563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20022">
        <w:rPr>
          <w:rFonts w:ascii="Courier New" w:hAnsi="Courier New" w:cs="Courier New"/>
        </w:rPr>
        <w:t xml:space="preserve">Apelação. Ação de Repetição de Indébito. IPTU dos exercícios de 2019 a 2023. Sentença de procedência parcial, com o reconhecimento da prescrição da pretensão repetitória relativa aos pagamentos do exercício de 2019. Insurgência do Município. Pretensão à reforma. Acolhimento em parte. Preliminar de incorreção do valor artibuído à causa. Rejeição. Valor da causa que corresponde ao proveito econômico pretendido pelo autor, em observância do artigo 292, § 3º do CPC. Preliminar de ilegitimidade ativa. Pagamento dos tributos por terceiro que não retira do sujeito passivo a legitimidade para postular a </w:t>
      </w:r>
      <w:r w:rsidRPr="00020022">
        <w:rPr>
          <w:rFonts w:ascii="Courier New" w:hAnsi="Courier New" w:cs="Courier New"/>
        </w:rPr>
        <w:t>repetição do indébito. Inaplicabilidade do artigo 166 do CTN aos tributos diretos, como é o caso do IPTU. Caso concreto no qual, ademais, o terceiro anuiu com a pretensão repetitória. Precedente do STJ. Autor que, contudo, carece de legitimidade para pleitear a restituição de IPTUs pagos no período em que um dos imóveis já havia sido transferido mediante integralização de capital social a pessoa jurídica. Reconhecimento da ilegitimidade ativa, nos termos do art. 485, VI do CPC, com a exclusão, da condenação, dos valores atinentes aos IPTUs incidentes sobre o imóvel de inscrição n. 41213-61-55-01863-0-0001-00000 recolhidos a partir de outubro de 2020. Questão de fundo. LM n. 3.243/99 que insituiu alíquotas para o IPTU que variam conforme a área do imóvel, estabelecendo uma alíquota maior para imóveis situados na zona central da cidade. Critérios diretamente ligados à capacidade contributiva dos proprietários, a revelar que não se trata de seletividade de alíquotas, mas sim de progressividade. Progressividade fiscal que, nos termos da súmula 668 do STF, somente poderia ter sido instituída a partir da promulgação da EC 29/2000. Inconstitucionalidade da cobrança. Inaplicabilidade do tema 523 do STF ao presente caso. Precedentes desta Corte envolvendo a mesma legislação do Município de Itatiba. Explicitação de ofício dos critérios de incidência da correção monetária e juros de mora sobre o indébito, considerando-se a superveniência da EC 136/25. Redistribuição da condenação sucumbencial. Sentença parcialmente reformada. Recurso provido em parte. (TJ-SP - Apelação Cível: 10068712520248260281 Itatiba, Relator: Ricardo Chimenti, Data de Julgamento: 09/04/2026, 18ª Câmara de Direito Público, Data de Publicação: 13/04/2026)</w:t>
      </w:r>
    </w:p>
    <w:p w:rsidR="0035352F" w:rsidRPr="00020022" w:rsidP="005C5121" w14:paraId="7C95E4C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020022" w:rsidP="005C5121" w14:paraId="230554E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No plano internacional, a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Nova Agenda Urbana (ONU-Habitat)</w:t>
      </w:r>
      <w:r w:rsidRPr="00020022">
        <w:rPr>
          <w:rFonts w:ascii="Courier New" w:hAnsi="Courier New" w:cs="Courier New"/>
          <w:sz w:val="22"/>
          <w:szCs w:val="22"/>
        </w:rPr>
        <w:t xml:space="preserve"> e o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Pacto Internacional sobre Direitos Econômicos, Sociais e Culturais</w:t>
      </w:r>
      <w:r w:rsidRPr="00020022">
        <w:rPr>
          <w:rFonts w:ascii="Courier New" w:hAnsi="Courier New" w:cs="Courier New"/>
          <w:sz w:val="22"/>
          <w:szCs w:val="22"/>
        </w:rPr>
        <w:t xml:space="preserve"> reforçam o dever dos Estados de combater a retenção especulativa de terras para garantir o </w:t>
      </w:r>
      <w:r w:rsidRPr="00020022">
        <w:rPr>
          <w:rFonts w:ascii="Courier New" w:hAnsi="Courier New" w:cs="Courier New"/>
          <w:b/>
          <w:bCs/>
          <w:sz w:val="22"/>
          <w:szCs w:val="22"/>
        </w:rPr>
        <w:t>Direito à Moradia Digna</w:t>
      </w:r>
      <w:r w:rsidRPr="00020022">
        <w:rPr>
          <w:rFonts w:ascii="Courier New" w:hAnsi="Courier New" w:cs="Courier New"/>
          <w:sz w:val="22"/>
          <w:szCs w:val="22"/>
        </w:rPr>
        <w:t xml:space="preserve">. Postergar a eficácia da lei para grandes especuladores afronta o princípio do </w:t>
      </w: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Non-Retrogression</w:t>
      </w:r>
      <w:r w:rsidRPr="00020022">
        <w:rPr>
          <w:rFonts w:ascii="Courier New" w:hAnsi="Courier New" w:cs="Courier New"/>
          <w:sz w:val="22"/>
          <w:szCs w:val="22"/>
        </w:rPr>
        <w:t xml:space="preserve"> (Vedação ao Retrocesso Social), pois retira do Município o poder de induzir a ocupação de vazios urbanos dotados de infraestrutura.</w:t>
      </w:r>
    </w:p>
    <w:p w:rsidR="0035352F" w:rsidRPr="00020022" w:rsidP="005C5121" w14:paraId="613642C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 xml:space="preserve">A manutenção da eficácia imediata para pessoas jurídicas e grandes áreas é imperativa. Como ensina a máxima </w:t>
      </w:r>
      <w:r w:rsidRPr="00020022">
        <w:rPr>
          <w:rFonts w:ascii="Courier New" w:hAnsi="Courier New" w:cs="Courier New"/>
          <w:b/>
          <w:bCs/>
          <w:i/>
          <w:iCs/>
          <w:sz w:val="22"/>
          <w:szCs w:val="22"/>
        </w:rPr>
        <w:t>Ubi eadem ratio ibi eadem legis dispositio</w:t>
      </w:r>
      <w:r w:rsidRPr="00020022">
        <w:rPr>
          <w:rFonts w:ascii="Courier New" w:hAnsi="Courier New" w:cs="Courier New"/>
          <w:sz w:val="22"/>
          <w:szCs w:val="22"/>
        </w:rPr>
        <w:t xml:space="preserve"> (Onde houver a mesma razão, aplica-se o mesmo dispositivo legal), se a razão da lei é combater a subutilização, não há justificativa para isentar, por três anos, aqueles que possuem maior capacidade econômica e maior impacto na retenção de terras.</w:t>
      </w:r>
    </w:p>
    <w:p w:rsidR="00465074" w:rsidRPr="00020022" w:rsidP="005C5121" w14:paraId="0F4DC60F" w14:textId="5644BE0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022">
        <w:rPr>
          <w:rFonts w:ascii="Courier New" w:hAnsi="Courier New" w:cs="Courier New"/>
          <w:sz w:val="22"/>
          <w:szCs w:val="22"/>
        </w:rPr>
        <w:t>Pelo exposto, contamos com o apoio dos nobres pares para a aprovação desta emenda, garantindo que Mogi Mirim não se torne um refúgio para o capital especulativo em detrimento do cidadão comum.</w:t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962D1C" w:rsidP="00962D1C" w14:paraId="6F3CD22F" w14:textId="1537432C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BA8A1D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20022"/>
    <w:rsid w:val="00031FEB"/>
    <w:rsid w:val="00037523"/>
    <w:rsid w:val="000401AF"/>
    <w:rsid w:val="00040D21"/>
    <w:rsid w:val="000428DB"/>
    <w:rsid w:val="00056D9C"/>
    <w:rsid w:val="00076553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A39DE"/>
    <w:rsid w:val="001B42BA"/>
    <w:rsid w:val="001C3AA6"/>
    <w:rsid w:val="00200F1C"/>
    <w:rsid w:val="00241452"/>
    <w:rsid w:val="0024425A"/>
    <w:rsid w:val="00245209"/>
    <w:rsid w:val="00257241"/>
    <w:rsid w:val="0027575E"/>
    <w:rsid w:val="00296637"/>
    <w:rsid w:val="00296EA6"/>
    <w:rsid w:val="002B572E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52F"/>
    <w:rsid w:val="0035370A"/>
    <w:rsid w:val="00355277"/>
    <w:rsid w:val="00374AF7"/>
    <w:rsid w:val="00386202"/>
    <w:rsid w:val="003E0416"/>
    <w:rsid w:val="003E2852"/>
    <w:rsid w:val="00401038"/>
    <w:rsid w:val="00402140"/>
    <w:rsid w:val="00416282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74581"/>
    <w:rsid w:val="0059377F"/>
    <w:rsid w:val="005C5121"/>
    <w:rsid w:val="005D014E"/>
    <w:rsid w:val="005D1A64"/>
    <w:rsid w:val="005E33D2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3873"/>
    <w:rsid w:val="0084452E"/>
    <w:rsid w:val="008844E4"/>
    <w:rsid w:val="008A0234"/>
    <w:rsid w:val="008A26DA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856"/>
    <w:rsid w:val="00A97D4E"/>
    <w:rsid w:val="00AA44DC"/>
    <w:rsid w:val="00AB501C"/>
    <w:rsid w:val="00AC39E3"/>
    <w:rsid w:val="00AC4BBE"/>
    <w:rsid w:val="00AD4535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646A7"/>
    <w:rsid w:val="00B75636"/>
    <w:rsid w:val="00B859E6"/>
    <w:rsid w:val="00B85B25"/>
    <w:rsid w:val="00B90DF4"/>
    <w:rsid w:val="00B97728"/>
    <w:rsid w:val="00BB1C40"/>
    <w:rsid w:val="00BD12F2"/>
    <w:rsid w:val="00BD21C3"/>
    <w:rsid w:val="00BE015C"/>
    <w:rsid w:val="00BE07EE"/>
    <w:rsid w:val="00BE3319"/>
    <w:rsid w:val="00BE50D2"/>
    <w:rsid w:val="00C04FE4"/>
    <w:rsid w:val="00C174B3"/>
    <w:rsid w:val="00C211AD"/>
    <w:rsid w:val="00C2517C"/>
    <w:rsid w:val="00C27C97"/>
    <w:rsid w:val="00C31D75"/>
    <w:rsid w:val="00C372C4"/>
    <w:rsid w:val="00C421B1"/>
    <w:rsid w:val="00C73C43"/>
    <w:rsid w:val="00C95BB4"/>
    <w:rsid w:val="00CA126A"/>
    <w:rsid w:val="00CA4CE7"/>
    <w:rsid w:val="00CA526D"/>
    <w:rsid w:val="00CC385D"/>
    <w:rsid w:val="00CC4ACB"/>
    <w:rsid w:val="00CD7AA0"/>
    <w:rsid w:val="00D168E9"/>
    <w:rsid w:val="00D208C4"/>
    <w:rsid w:val="00D34085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1D31"/>
    <w:rsid w:val="00DD36B8"/>
    <w:rsid w:val="00DD547B"/>
    <w:rsid w:val="00DF249B"/>
    <w:rsid w:val="00E14DC4"/>
    <w:rsid w:val="00E26DB0"/>
    <w:rsid w:val="00E313E0"/>
    <w:rsid w:val="00E4672A"/>
    <w:rsid w:val="00E46ECB"/>
    <w:rsid w:val="00E52FF0"/>
    <w:rsid w:val="00E66BA2"/>
    <w:rsid w:val="00E86F30"/>
    <w:rsid w:val="00E96597"/>
    <w:rsid w:val="00EA5CF5"/>
    <w:rsid w:val="00EB5B27"/>
    <w:rsid w:val="00EB727B"/>
    <w:rsid w:val="00EE21B7"/>
    <w:rsid w:val="00EE29C1"/>
    <w:rsid w:val="00EF46EB"/>
    <w:rsid w:val="00F01200"/>
    <w:rsid w:val="00F41235"/>
    <w:rsid w:val="00F518ED"/>
    <w:rsid w:val="00F554E4"/>
    <w:rsid w:val="00F65A30"/>
    <w:rsid w:val="00F87F27"/>
    <w:rsid w:val="00FA5381"/>
    <w:rsid w:val="00FA793A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5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4</Pages>
  <Words>1404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33</cp:revision>
  <cp:lastPrinted>2026-06-05T17:39:05Z</cp:lastPrinted>
  <dcterms:created xsi:type="dcterms:W3CDTF">2026-01-09T01:35:00Z</dcterms:created>
  <dcterms:modified xsi:type="dcterms:W3CDTF">2026-06-05T16:07:00Z</dcterms:modified>
</cp:coreProperties>
</file>