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50EF" w:rsidP="009A1FFA">
      <w:pPr>
        <w:spacing w:line="360" w:lineRule="auto"/>
        <w:ind w:left="100" w:leftChars="50"/>
        <w:rPr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8615FD" w:rsidRPr="009A1FFA" w:rsidP="009A1FFA">
      <w:pPr>
        <w:spacing w:line="360" w:lineRule="auto"/>
        <w:ind w:left="100" w:leftChars="50"/>
        <w:rPr>
          <w:sz w:val="24"/>
          <w:szCs w:val="24"/>
        </w:rPr>
      </w:pPr>
      <w:r w:rsidRPr="009A1FFA">
        <w:rPr>
          <w:b/>
          <w:bCs/>
          <w:iCs/>
          <w:color w:val="000000"/>
          <w:sz w:val="24"/>
          <w:szCs w:val="24"/>
          <w:shd w:val="clear" w:color="auto" w:fill="FFFFFF"/>
        </w:rPr>
        <w:t>Projeto de Lei</w:t>
      </w:r>
      <w:r w:rsidRPr="009A1FFA" w:rsidR="00614281">
        <w:rPr>
          <w:b/>
          <w:bCs/>
          <w:iCs/>
          <w:color w:val="000000"/>
          <w:sz w:val="24"/>
          <w:szCs w:val="24"/>
          <w:shd w:val="clear" w:color="auto" w:fill="FFFFFF"/>
        </w:rPr>
        <w:t xml:space="preserve"> nº </w:t>
      </w:r>
      <w:r w:rsidR="005F5525">
        <w:rPr>
          <w:b/>
          <w:bCs/>
          <w:iCs/>
          <w:color w:val="000000"/>
          <w:sz w:val="24"/>
          <w:szCs w:val="24"/>
          <w:shd w:val="clear" w:color="auto" w:fill="FFFFFF"/>
        </w:rPr>
        <w:t>6</w:t>
      </w:r>
      <w:r w:rsidR="009A4720">
        <w:rPr>
          <w:b/>
          <w:bCs/>
          <w:iCs/>
          <w:color w:val="000000"/>
          <w:sz w:val="24"/>
          <w:szCs w:val="24"/>
          <w:shd w:val="clear" w:color="auto" w:fill="FFFFFF"/>
        </w:rPr>
        <w:t>3</w:t>
      </w:r>
      <w:r w:rsidRPr="009A1FFA" w:rsidR="00614281">
        <w:rPr>
          <w:b/>
          <w:bCs/>
          <w:iCs/>
          <w:color w:val="000000"/>
          <w:sz w:val="24"/>
          <w:szCs w:val="24"/>
          <w:shd w:val="clear" w:color="auto" w:fill="FFFFFF"/>
        </w:rPr>
        <w:t>/202</w:t>
      </w:r>
      <w:r w:rsidR="005F5525">
        <w:rPr>
          <w:b/>
          <w:bCs/>
          <w:iCs/>
          <w:color w:val="000000"/>
          <w:sz w:val="24"/>
          <w:szCs w:val="24"/>
          <w:shd w:val="clear" w:color="auto" w:fill="FFFFFF"/>
        </w:rPr>
        <w:t>6</w:t>
      </w:r>
    </w:p>
    <w:p w:rsidR="008615FD" w:rsidP="009A1FFA">
      <w:pPr>
        <w:pStyle w:val="BodyText"/>
        <w:spacing w:after="0" w:line="360" w:lineRule="auto"/>
        <w:ind w:left="100" w:leftChars="50"/>
        <w:contextualSpacing/>
        <w:rPr>
          <w:b/>
          <w:color w:val="000000"/>
          <w:sz w:val="24"/>
          <w:szCs w:val="24"/>
        </w:rPr>
      </w:pPr>
      <w:r w:rsidRPr="009A1FFA">
        <w:rPr>
          <w:b/>
          <w:color w:val="000000"/>
          <w:sz w:val="24"/>
          <w:szCs w:val="24"/>
        </w:rPr>
        <w:t xml:space="preserve">Processo nº </w:t>
      </w:r>
      <w:r w:rsidR="005F5525">
        <w:rPr>
          <w:b/>
          <w:color w:val="000000"/>
          <w:sz w:val="24"/>
          <w:szCs w:val="24"/>
        </w:rPr>
        <w:t>7</w:t>
      </w:r>
      <w:r w:rsidR="009A4720">
        <w:rPr>
          <w:b/>
          <w:color w:val="000000"/>
          <w:sz w:val="24"/>
          <w:szCs w:val="24"/>
        </w:rPr>
        <w:t>9</w:t>
      </w:r>
      <w:r w:rsidR="005F5525">
        <w:rPr>
          <w:b/>
          <w:color w:val="000000"/>
          <w:sz w:val="24"/>
          <w:szCs w:val="24"/>
        </w:rPr>
        <w:t>/2026</w:t>
      </w:r>
    </w:p>
    <w:p w:rsidR="000304E0" w:rsidP="009A1FFA">
      <w:pPr>
        <w:pStyle w:val="BodyText"/>
        <w:spacing w:after="0" w:line="360" w:lineRule="auto"/>
        <w:ind w:left="100" w:leftChars="50"/>
        <w:contextualSpacing/>
        <w:rPr>
          <w:b/>
          <w:color w:val="000000"/>
          <w:sz w:val="24"/>
          <w:szCs w:val="24"/>
        </w:rPr>
      </w:pPr>
    </w:p>
    <w:p w:rsidR="00346CD0" w:rsidRPr="00473ECC" w:rsidP="00473ECC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73ECC" w:rsidR="00A05BAC">
        <w:rPr>
          <w:sz w:val="24"/>
          <w:szCs w:val="24"/>
        </w:rPr>
        <w:t>Seguindo a sistemática do processo legislativo e por provocação da Comissão de Justiça e Redação</w:t>
      </w:r>
      <w:r w:rsidR="00356F16">
        <w:rPr>
          <w:sz w:val="24"/>
          <w:szCs w:val="24"/>
        </w:rPr>
        <w:t xml:space="preserve"> </w:t>
      </w:r>
      <w:r w:rsidRPr="00473ECC" w:rsidR="005F5525">
        <w:rPr>
          <w:sz w:val="24"/>
          <w:szCs w:val="24"/>
        </w:rPr>
        <w:t xml:space="preserve">e da Comissão de </w:t>
      </w:r>
      <w:r w:rsidRPr="00473ECC" w:rsidR="00A05BAC">
        <w:rPr>
          <w:sz w:val="24"/>
          <w:szCs w:val="24"/>
        </w:rPr>
        <w:t>Finanças e</w:t>
      </w:r>
      <w:r w:rsidRPr="00473ECC" w:rsidR="005F5525">
        <w:rPr>
          <w:sz w:val="24"/>
          <w:szCs w:val="24"/>
        </w:rPr>
        <w:t xml:space="preserve"> Orçamento</w:t>
      </w:r>
      <w:r w:rsidRPr="00473ECC" w:rsidR="00A05BAC">
        <w:rPr>
          <w:sz w:val="24"/>
          <w:szCs w:val="24"/>
        </w:rPr>
        <w:t xml:space="preserve">, em conformidade com que determina os artigos 35, </w:t>
      </w:r>
      <w:r w:rsidR="00356F16">
        <w:rPr>
          <w:sz w:val="24"/>
          <w:szCs w:val="24"/>
        </w:rPr>
        <w:t>36 e</w:t>
      </w:r>
      <w:r w:rsidRPr="00473ECC" w:rsidR="005F5525">
        <w:rPr>
          <w:sz w:val="24"/>
          <w:szCs w:val="24"/>
        </w:rPr>
        <w:t xml:space="preserve"> </w:t>
      </w:r>
      <w:r w:rsidRPr="00473ECC" w:rsidR="00A05BAC">
        <w:rPr>
          <w:sz w:val="24"/>
          <w:szCs w:val="24"/>
        </w:rPr>
        <w:t>37 da Resolução 276, de 09 de novembro de 2010 – Regimento Interno da Câmara Municipal, as Comissões Permanentes de Justiça e Redação</w:t>
      </w:r>
      <w:r w:rsidRPr="00473ECC" w:rsidR="005F5525">
        <w:rPr>
          <w:sz w:val="24"/>
          <w:szCs w:val="24"/>
        </w:rPr>
        <w:t xml:space="preserve"> e da Finanças e Orçamento</w:t>
      </w:r>
      <w:r w:rsidRPr="00473ECC" w:rsidR="00A05BAC">
        <w:rPr>
          <w:sz w:val="24"/>
          <w:szCs w:val="24"/>
        </w:rPr>
        <w:t xml:space="preserve">,  emitem o presente Relatório acerca do Projeto de Lei nº </w:t>
      </w:r>
      <w:r w:rsidRPr="00473ECC" w:rsidR="005F5525">
        <w:rPr>
          <w:sz w:val="24"/>
          <w:szCs w:val="24"/>
        </w:rPr>
        <w:t>6</w:t>
      </w:r>
      <w:r w:rsidR="009A4720">
        <w:rPr>
          <w:sz w:val="24"/>
          <w:szCs w:val="24"/>
        </w:rPr>
        <w:t>3</w:t>
      </w:r>
      <w:r w:rsidRPr="00473ECC" w:rsidR="00A05BAC">
        <w:rPr>
          <w:sz w:val="24"/>
          <w:szCs w:val="24"/>
        </w:rPr>
        <w:t>/202</w:t>
      </w:r>
      <w:r w:rsidRPr="00473ECC" w:rsidR="005F5525">
        <w:rPr>
          <w:sz w:val="24"/>
          <w:szCs w:val="24"/>
        </w:rPr>
        <w:t>6</w:t>
      </w:r>
      <w:r w:rsidRPr="00473ECC" w:rsidR="00A05BAC">
        <w:rPr>
          <w:sz w:val="24"/>
          <w:szCs w:val="24"/>
        </w:rPr>
        <w:t>, de autoria do Prefeito Municipal, sob relatoria do Vereador Marcio Dener Coran</w:t>
      </w:r>
      <w:r w:rsidRPr="00473ECC">
        <w:rPr>
          <w:sz w:val="24"/>
          <w:szCs w:val="24"/>
        </w:rPr>
        <w:t>, que versa sobre:</w:t>
      </w:r>
    </w:p>
    <w:p w:rsidR="000304E0" w:rsidRPr="00CF0D4C" w:rsidP="00CF0D4C">
      <w:pPr>
        <w:pStyle w:val="BodyText"/>
        <w:spacing w:before="240" w:after="0"/>
        <w:ind w:left="100" w:leftChars="50"/>
        <w:jc w:val="center"/>
        <w:rPr>
          <w:i/>
          <w:sz w:val="24"/>
          <w:szCs w:val="24"/>
        </w:rPr>
      </w:pPr>
      <w:r w:rsidRPr="00CF0D4C">
        <w:rPr>
          <w:i/>
          <w:sz w:val="24"/>
          <w:szCs w:val="24"/>
        </w:rPr>
        <w:t>“</w:t>
      </w:r>
      <w:r w:rsidRPr="00CF0D4C" w:rsidR="00CF0D4C">
        <w:rPr>
          <w:i/>
          <w:sz w:val="24"/>
          <w:szCs w:val="24"/>
        </w:rPr>
        <w:t xml:space="preserve">Dispõe sobre a Reestruturação do </w:t>
      </w:r>
      <w:r w:rsidR="009A4720">
        <w:rPr>
          <w:i/>
          <w:sz w:val="24"/>
          <w:szCs w:val="24"/>
        </w:rPr>
        <w:t xml:space="preserve">Fundo </w:t>
      </w:r>
      <w:r w:rsidRPr="00CF0D4C" w:rsidR="00CF0D4C">
        <w:rPr>
          <w:i/>
          <w:sz w:val="24"/>
          <w:szCs w:val="24"/>
        </w:rPr>
        <w:t>Municipal dos Direitos da Pessoa Idosa (</w:t>
      </w:r>
      <w:r w:rsidR="009A4720">
        <w:rPr>
          <w:i/>
          <w:sz w:val="24"/>
          <w:szCs w:val="24"/>
        </w:rPr>
        <w:t>F</w:t>
      </w:r>
      <w:r w:rsidRPr="00CF0D4C" w:rsidR="005F5525">
        <w:rPr>
          <w:i/>
          <w:sz w:val="24"/>
          <w:szCs w:val="24"/>
        </w:rPr>
        <w:t xml:space="preserve">MDPI), no âmbito do município de Mogi Mirim, </w:t>
      </w:r>
      <w:r w:rsidRPr="00CF0D4C">
        <w:rPr>
          <w:i/>
          <w:sz w:val="24"/>
          <w:szCs w:val="24"/>
        </w:rPr>
        <w:t>e dá outras providências”</w:t>
      </w:r>
    </w:p>
    <w:p w:rsidR="00CF0D4C" w:rsidRPr="00473ECC" w:rsidP="00473ECC">
      <w:pPr>
        <w:pStyle w:val="BodyText"/>
        <w:spacing w:before="240" w:after="0"/>
        <w:ind w:left="100" w:leftChars="50"/>
        <w:rPr>
          <w:b/>
          <w:bCs/>
          <w:i/>
          <w:sz w:val="24"/>
          <w:szCs w:val="24"/>
        </w:rPr>
      </w:pPr>
    </w:p>
    <w:p w:rsidR="00473ECC" w:rsidRPr="00473ECC" w:rsidP="00473ECC">
      <w:pPr>
        <w:pStyle w:val="BodyText"/>
        <w:rPr>
          <w:sz w:val="24"/>
          <w:szCs w:val="24"/>
        </w:rPr>
      </w:pPr>
      <w:r w:rsidRPr="00473ECC">
        <w:rPr>
          <w:sz w:val="24"/>
          <w:szCs w:val="24"/>
        </w:rPr>
        <w:t>I – RELATÓRIO</w:t>
      </w:r>
    </w:p>
    <w:p w:rsidR="009A4720" w:rsidRPr="00060219" w:rsidP="009A4720">
      <w:pPr>
        <w:pStyle w:val="MdParagraph"/>
        <w:spacing w:line="276" w:lineRule="auto"/>
        <w:ind w:firstLine="708"/>
        <w:jc w:val="both"/>
      </w:pPr>
      <w:r w:rsidRPr="00060219">
        <w:t>Trata-se do Projeto de Lei nº 63/2026, de autoria do Executivo Municipal, que visa reestruturar o Fundo Municipal dos Direitos da Pessoa Idosa (FMDPI) de Mogi Mirim. A propositura foi encaminhada a esta Casa Legislativa com a Mensagem nº 037/26, que expõe os motivos para a alteração da legislação vigente. O projeto busca adequar a estrutura do FMDPI às novas diretrizes administrativas do Município, estabelecidas pela Lei Complementar nº 403/2025, e aprimorar os mecanismos de gestão, captação e aplicação de recursos destinados à promoção, proteção e defesa dos direitos da pessoa idosa.</w:t>
      </w:r>
    </w:p>
    <w:p w:rsidR="009A4720" w:rsidP="009A4720">
      <w:pPr>
        <w:pStyle w:val="MdParagraph"/>
        <w:spacing w:line="276" w:lineRule="auto"/>
        <w:ind w:firstLine="708"/>
        <w:jc w:val="both"/>
      </w:pPr>
      <w:r w:rsidRPr="00060219">
        <w:t>O processo legislativo foi instruído com a manifestação do Conselho Municipal dos Direitos da Pessoa Idosa (CMDPI), por meio do Ofício de 14 de abril de 2026 e Deliberação nº 03/2026, de 31 de março de 2026, solicitando e aprovando as alterações. As Secretarias Municipais de Assistência Social e de Cidadania e Direitos das Pessoas com Deficiência manifestaram-se favoravelmente às mudanças propostas. A Secretaria Municipal de Negócios Jurídicos emitiu o Despacho nº 5046/2026, concluindo pela viabilidade jurídica da matéria, com ressalvas quanto à interpretação da vedação de repasse a entidades privadas à luz da Lei nº 13.019/2014.</w:t>
      </w:r>
    </w:p>
    <w:p w:rsidR="009A4720" w:rsidRPr="009A4720" w:rsidP="009A4720">
      <w:pPr>
        <w:pStyle w:val="BodyText"/>
        <w:ind w:firstLine="708"/>
        <w:rPr>
          <w:sz w:val="24"/>
          <w:szCs w:val="24"/>
        </w:rPr>
      </w:pPr>
      <w:r w:rsidRPr="009A4720">
        <w:rPr>
          <w:sz w:val="24"/>
          <w:szCs w:val="24"/>
        </w:rPr>
        <w:t>A matéria revoga a Lei Municipal nº 5.378, de 14 de junho de 2013, estabelecendo novo marco normativo para o funcionamento do Fundo Municipal dos Direitos da Pessoa Idosa, em consonância com a Lei Complementar Municipal nº 403/2025, com o Estatuto da Pessoa Idosa (Lei Federal nº 10.741/2003), com a Lei Federal nº 12.213/2010 e com os princípios constitucionais que regem a Administração Pública.</w:t>
      </w:r>
    </w:p>
    <w:p w:rsidR="009A4720" w:rsidRPr="009A4720" w:rsidP="009A4720">
      <w:pPr>
        <w:pStyle w:val="BodyText"/>
        <w:ind w:firstLine="708"/>
        <w:rPr>
          <w:sz w:val="24"/>
          <w:szCs w:val="24"/>
        </w:rPr>
      </w:pPr>
      <w:r w:rsidRPr="009A4720">
        <w:rPr>
          <w:sz w:val="24"/>
          <w:szCs w:val="24"/>
        </w:rPr>
        <w:t>Nos termos regimentais, a matéria foi distribuída às Comissões competentes para emissão de parecer conjunto, conforme previsto no artigo 45 da Resolução nº 276/2010</w:t>
      </w:r>
      <w:r w:rsidRPr="009A4720">
        <w:rPr>
          <w:sz w:val="24"/>
          <w:szCs w:val="24"/>
        </w:rPr>
        <w:t>, sendo o</w:t>
      </w:r>
      <w:r w:rsidRPr="009A4720">
        <w:rPr>
          <w:sz w:val="24"/>
          <w:szCs w:val="24"/>
        </w:rPr>
        <w:t xml:space="preserve"> Vereador Sargento Coran designado Relator do presente Projeto de Lei</w:t>
      </w:r>
      <w:r w:rsidRPr="009A4720">
        <w:rPr>
          <w:sz w:val="24"/>
          <w:szCs w:val="24"/>
        </w:rPr>
        <w:t>.</w:t>
      </w:r>
    </w:p>
    <w:p w:rsidR="00D150EF" w:rsidP="00473ECC">
      <w:pPr>
        <w:pStyle w:val="BodyText"/>
        <w:rPr>
          <w:sz w:val="24"/>
          <w:szCs w:val="24"/>
        </w:rPr>
      </w:pPr>
    </w:p>
    <w:p w:rsidR="00473ECC" w:rsidRPr="00473ECC" w:rsidP="00473ECC">
      <w:pPr>
        <w:pStyle w:val="BodyText"/>
        <w:rPr>
          <w:sz w:val="24"/>
          <w:szCs w:val="24"/>
        </w:rPr>
      </w:pPr>
      <w:r w:rsidRPr="00473ECC">
        <w:rPr>
          <w:sz w:val="24"/>
          <w:szCs w:val="24"/>
        </w:rPr>
        <w:t>II – DA COMPETÊNCIA DAS COMISSÕES</w:t>
      </w:r>
      <w:r w:rsidR="00251C98">
        <w:rPr>
          <w:sz w:val="24"/>
          <w:szCs w:val="24"/>
        </w:rPr>
        <w:t xml:space="preserve"> (FUNDAMENTAÇÕES)</w:t>
      </w:r>
    </w:p>
    <w:p w:rsidR="00251C98" w:rsidRPr="00060219" w:rsidP="00D150EF">
      <w:pPr>
        <w:pStyle w:val="MdParagraph"/>
        <w:spacing w:line="276" w:lineRule="auto"/>
        <w:ind w:firstLine="360"/>
        <w:jc w:val="both"/>
      </w:pPr>
      <w:r w:rsidRPr="00060219">
        <w:t>Conforme o Regimento Interno da Câmara Municipal de Mogi Mirim (Resolução nº 276, de 9 de novembro de 2010), as Comissões Permanentes têm as seguintes atribuições:</w:t>
      </w:r>
    </w:p>
    <w:p w:rsidR="00251C98" w:rsidRPr="00060219" w:rsidP="00D150EF">
      <w:pPr>
        <w:pStyle w:val="MdListItem"/>
        <w:spacing w:line="276" w:lineRule="auto"/>
        <w:ind w:left="0" w:firstLine="360"/>
        <w:jc w:val="both"/>
      </w:pPr>
      <w:r>
        <w:rPr>
          <w:rStyle w:val="MdStrong"/>
        </w:rPr>
        <w:t xml:space="preserve">* </w:t>
      </w:r>
      <w:r w:rsidRPr="00060219">
        <w:rPr>
          <w:rStyle w:val="MdStrong"/>
        </w:rPr>
        <w:t>Comissão de Justiça e Redação (CJR)</w:t>
      </w:r>
      <w:r w:rsidRPr="00060219">
        <w:t xml:space="preserve">: Compete à CJR manifestar-se sobre o aspecto constitucional, legal, jurídico, regimental e de técnica legislativa de todas as proposições, nos termos do </w:t>
      </w:r>
      <w:r w:rsidRPr="00060219">
        <w:rPr>
          <w:rStyle w:val="MdStrong"/>
        </w:rPr>
        <w:t>Artigo 35</w:t>
      </w:r>
      <w:r w:rsidRPr="00060219">
        <w:t xml:space="preserve"> da Resolução nº 276/2010. A propositura em análise não apresenta vícios de iniciativa ou de forma, estando em consonância com a Lei Orgânica Municipal e a Constituição Federal, que atribuem ao Chefe do Poder Executivo a competência para propor leis que versem sobre organização administrativa e fundos públicos.</w:t>
      </w:r>
    </w:p>
    <w:p w:rsidR="00251C98" w:rsidP="00D150EF">
      <w:pPr>
        <w:pStyle w:val="MdListItem"/>
        <w:spacing w:line="276" w:lineRule="auto"/>
        <w:ind w:left="0" w:firstLine="349"/>
        <w:jc w:val="both"/>
      </w:pPr>
      <w:r>
        <w:rPr>
          <w:rStyle w:val="MdStrong"/>
        </w:rPr>
        <w:t xml:space="preserve">* </w:t>
      </w:r>
      <w:r w:rsidRPr="00060219">
        <w:rPr>
          <w:rStyle w:val="MdStrong"/>
        </w:rPr>
        <w:t>Comissão de Finanças e Orçamento (CFO)</w:t>
      </w:r>
      <w:r w:rsidRPr="00060219">
        <w:t xml:space="preserve">: Compete à </w:t>
      </w:r>
      <w:r>
        <w:t xml:space="preserve">CFO analisar as proposições que </w:t>
      </w:r>
      <w:r w:rsidRPr="00060219">
        <w:t xml:space="preserve">impliquem em aumento ou diminuição de receita ou despesa pública, bem como sua compatibilidade com o Plano Plurianual (PPA), a Lei de Diretrizes Orçamentárias (LDO) e a Lei Orçamentária Anual (LOA), conforme o </w:t>
      </w:r>
      <w:r w:rsidRPr="00060219">
        <w:rPr>
          <w:rStyle w:val="MdStrong"/>
        </w:rPr>
        <w:t>Artigo 37</w:t>
      </w:r>
      <w:r w:rsidRPr="00060219">
        <w:t xml:space="preserve"> da Resolução nº 276/2010. O Projeto de Lei nº 63/2026, ao reestruturar o FMDPI, estabelece fontes de recursos e diretrizes para sua aplicação, impactando diretamente as finanças municipais. A previsão de Planos de Ação e de Aplicação, bem como a destinação de 10% dos recursos para custeio do CMDPI e 90% para programas e projetos, confere maior transparência e controle orçamentário.</w:t>
      </w:r>
    </w:p>
    <w:p w:rsidR="00251C98" w:rsidP="00D150EF">
      <w:pPr>
        <w:pStyle w:val="MdListItem"/>
        <w:spacing w:line="276" w:lineRule="auto"/>
        <w:ind w:left="0" w:firstLine="349"/>
        <w:jc w:val="both"/>
      </w:pPr>
      <w:r>
        <w:t>Desta forma, ambas as Comissões são competentes para emitir parecer conjunto sobre a presente proposição.</w:t>
      </w:r>
    </w:p>
    <w:p w:rsidR="00473ECC" w:rsidRPr="00473ECC" w:rsidP="00473ECC">
      <w:pPr>
        <w:pStyle w:val="BodyText"/>
        <w:rPr>
          <w:sz w:val="24"/>
          <w:szCs w:val="24"/>
        </w:rPr>
      </w:pPr>
      <w:r w:rsidRPr="00473ECC">
        <w:rPr>
          <w:sz w:val="24"/>
          <w:szCs w:val="24"/>
        </w:rPr>
        <w:t>III – DA ANÁLISE JURÍDICA E CONSTITUCIONAL</w:t>
      </w:r>
    </w:p>
    <w:p w:rsidR="009F7754" w:rsidRPr="00E6771A" w:rsidP="009F7754">
      <w:pPr>
        <w:pStyle w:val="BodyText"/>
        <w:ind w:firstLine="708"/>
        <w:rPr>
          <w:sz w:val="24"/>
          <w:szCs w:val="24"/>
        </w:rPr>
      </w:pPr>
      <w:r w:rsidRPr="00E6771A">
        <w:rPr>
          <w:sz w:val="24"/>
          <w:szCs w:val="24"/>
        </w:rPr>
        <w:t>Verifica-se que a iniciativa legislativa é legítima e encontra amparo na Constituição Federal, na Constituição do Estado de São Paulo, na Lei Orgânica do Município e na legislação federal pertinente.</w:t>
      </w:r>
    </w:p>
    <w:p w:rsidR="009F7754" w:rsidRPr="00E6771A" w:rsidP="009F7754">
      <w:pPr>
        <w:pStyle w:val="BodyText"/>
        <w:ind w:firstLine="708"/>
        <w:rPr>
          <w:sz w:val="24"/>
          <w:szCs w:val="24"/>
        </w:rPr>
      </w:pPr>
      <w:r w:rsidRPr="00E6771A">
        <w:rPr>
          <w:sz w:val="24"/>
          <w:szCs w:val="24"/>
        </w:rPr>
        <w:t>A matéria versa sobre organização administrativa, gestão de fundo público municipal e execução de políticas públicas voltadas à pessoa idosa, tratando-se de competência privativa do Poder Executivo Municipal.</w:t>
      </w:r>
    </w:p>
    <w:p w:rsidR="009F7754" w:rsidRPr="00E6771A" w:rsidP="009F7754">
      <w:pPr>
        <w:pStyle w:val="BodyText"/>
        <w:ind w:firstLine="708"/>
        <w:rPr>
          <w:sz w:val="24"/>
          <w:szCs w:val="24"/>
        </w:rPr>
      </w:pPr>
      <w:r w:rsidRPr="00E6771A">
        <w:rPr>
          <w:sz w:val="24"/>
          <w:szCs w:val="24"/>
        </w:rPr>
        <w:t>Não se constatam vícios de iniciativa, competência, legalidade, constitucionalidade ou técnica legislativa.</w:t>
      </w:r>
    </w:p>
    <w:p w:rsidR="009F7754" w:rsidRPr="00E6771A" w:rsidP="009F7754">
      <w:pPr>
        <w:pStyle w:val="BodyText"/>
        <w:ind w:firstLine="708"/>
        <w:rPr>
          <w:sz w:val="24"/>
          <w:szCs w:val="24"/>
        </w:rPr>
      </w:pPr>
      <w:r w:rsidRPr="00E6771A">
        <w:rPr>
          <w:sz w:val="24"/>
          <w:szCs w:val="24"/>
        </w:rPr>
        <w:t>O projeto observa os princípios previstos no artigo 37 da Constituição Federal, especialmente os princípios da legalidade, moralidade, publicidade, eficiência e interesse público.</w:t>
      </w:r>
    </w:p>
    <w:p w:rsidR="009F7754" w:rsidRPr="00E6771A" w:rsidP="009F7754">
      <w:pPr>
        <w:pStyle w:val="BodyText"/>
        <w:ind w:firstLine="708"/>
        <w:rPr>
          <w:sz w:val="24"/>
          <w:szCs w:val="24"/>
        </w:rPr>
      </w:pPr>
      <w:r w:rsidRPr="00E6771A">
        <w:rPr>
          <w:sz w:val="24"/>
          <w:szCs w:val="24"/>
        </w:rPr>
        <w:t>Ademais, a proposição está em consonância com:</w:t>
      </w:r>
    </w:p>
    <w:p w:rsidR="009F7754" w:rsidRPr="00E6771A" w:rsidP="009F7754">
      <w:pPr>
        <w:pStyle w:val="Compac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  <w:t xml:space="preserve">* </w:t>
      </w:r>
      <w:r w:rsidRPr="00E6771A">
        <w:rPr>
          <w:rFonts w:ascii="Times New Roman" w:hAnsi="Times New Roman" w:cs="Times New Roman"/>
        </w:rPr>
        <w:t>Constituição Federal de 1988;</w:t>
      </w:r>
    </w:p>
    <w:p w:rsidR="009F7754" w:rsidRPr="00E6771A" w:rsidP="009F7754">
      <w:pPr>
        <w:pStyle w:val="Compac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  <w:t xml:space="preserve">* </w:t>
      </w:r>
      <w:r w:rsidRPr="00E6771A">
        <w:rPr>
          <w:rFonts w:ascii="Times New Roman" w:hAnsi="Times New Roman" w:cs="Times New Roman"/>
        </w:rPr>
        <w:t>Estatuto da Pessoa Idosa (Lei Federal nº 10.741/2003);</w:t>
      </w:r>
    </w:p>
    <w:p w:rsidR="009F7754" w:rsidRPr="00E6771A" w:rsidP="009F7754">
      <w:pPr>
        <w:pStyle w:val="Compac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  <w:t xml:space="preserve">* </w:t>
      </w:r>
      <w:r w:rsidRPr="00E6771A">
        <w:rPr>
          <w:rFonts w:ascii="Times New Roman" w:hAnsi="Times New Roman" w:cs="Times New Roman"/>
        </w:rPr>
        <w:t>Lei Federal nº 12.213/2010;</w:t>
      </w:r>
    </w:p>
    <w:p w:rsidR="009F7754" w:rsidP="009F7754">
      <w:pPr>
        <w:pStyle w:val="Compac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D150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* </w:t>
      </w:r>
      <w:r w:rsidRPr="00E6771A">
        <w:rPr>
          <w:rFonts w:ascii="Times New Roman" w:hAnsi="Times New Roman" w:cs="Times New Roman"/>
        </w:rPr>
        <w:t>Lei Federal nº 13.019/2014 (Marco Regulatório das Organizações da Sociedade Civil);</w:t>
      </w:r>
    </w:p>
    <w:p w:rsidR="009F7754" w:rsidRPr="00E6771A" w:rsidP="009F7754">
      <w:pPr>
        <w:pStyle w:val="Compac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D150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* </w:t>
      </w:r>
      <w:r w:rsidRPr="00E6771A">
        <w:rPr>
          <w:rFonts w:ascii="Times New Roman" w:hAnsi="Times New Roman" w:cs="Times New Roman"/>
        </w:rPr>
        <w:t>Lei Orgânica do Município de Mogi Mirim</w:t>
      </w:r>
      <w:r w:rsidRPr="00E6771A">
        <w:rPr>
          <w:rFonts w:ascii="Times New Roman" w:hAnsi="Times New Roman" w:cs="Times New Roman"/>
        </w:rPr>
        <w:t>;</w:t>
      </w:r>
    </w:p>
    <w:p w:rsidR="009F7754" w:rsidRPr="00E6771A" w:rsidP="009F7754">
      <w:pPr>
        <w:pStyle w:val="Compac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D150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* </w:t>
      </w:r>
      <w:r w:rsidRPr="00E6771A">
        <w:rPr>
          <w:rFonts w:ascii="Times New Roman" w:hAnsi="Times New Roman" w:cs="Times New Roman"/>
        </w:rPr>
        <w:t>Lei Complementar Municipal nº 403/2025.</w:t>
      </w:r>
    </w:p>
    <w:p w:rsidR="009F7754" w:rsidRPr="00E6771A" w:rsidP="009F7754">
      <w:pPr>
        <w:pStyle w:val="FirstParagraph"/>
        <w:spacing w:line="276" w:lineRule="auto"/>
        <w:jc w:val="both"/>
        <w:rPr>
          <w:rFonts w:ascii="Times New Roman" w:hAnsi="Times New Roman" w:cs="Times New Roman"/>
        </w:rPr>
      </w:pPr>
      <w:r w:rsidRPr="00E6771A">
        <w:rPr>
          <w:rFonts w:ascii="Times New Roman" w:hAnsi="Times New Roman" w:cs="Times New Roman"/>
        </w:rPr>
        <w:t>IV – DA ANÁLISE ORÇAMENTÁRIA E FINANCEIRA</w:t>
      </w:r>
    </w:p>
    <w:p w:rsidR="009F7754" w:rsidRPr="00E6771A" w:rsidP="009F7754">
      <w:pPr>
        <w:pStyle w:val="BodyText"/>
        <w:ind w:firstLine="708"/>
        <w:rPr>
          <w:sz w:val="24"/>
          <w:szCs w:val="24"/>
        </w:rPr>
      </w:pPr>
      <w:r w:rsidRPr="00E6771A">
        <w:rPr>
          <w:sz w:val="24"/>
          <w:szCs w:val="24"/>
        </w:rPr>
        <w:t>A reestruturação proposta não cria despesa obrigatória nova sem indicação de fonte de custeio nem gera impacto financeiro incompatível com as normas de responsabilidade fiscal.</w:t>
      </w:r>
    </w:p>
    <w:p w:rsidR="009F7754" w:rsidRPr="00E6771A" w:rsidP="009F7754">
      <w:pPr>
        <w:pStyle w:val="BodyText"/>
        <w:ind w:firstLine="708"/>
        <w:rPr>
          <w:sz w:val="24"/>
          <w:szCs w:val="24"/>
        </w:rPr>
      </w:pPr>
      <w:r w:rsidRPr="00E6771A">
        <w:rPr>
          <w:sz w:val="24"/>
          <w:szCs w:val="24"/>
        </w:rPr>
        <w:t>Ao contrário, a proposição promove maior controle da aplicação dos recursos públicos por meio da instituição obrigatória de Plano de Ação e Plano de Aplicação, fortalecendo os mecanismos de planejamento, transparência e fiscalização.</w:t>
      </w:r>
    </w:p>
    <w:p w:rsidR="009F7754" w:rsidRPr="00E6771A" w:rsidP="009F7754">
      <w:pPr>
        <w:pStyle w:val="BodyText"/>
        <w:ind w:firstLine="708"/>
        <w:rPr>
          <w:sz w:val="24"/>
          <w:szCs w:val="24"/>
        </w:rPr>
      </w:pPr>
      <w:r w:rsidRPr="00E6771A">
        <w:rPr>
          <w:sz w:val="24"/>
          <w:szCs w:val="24"/>
        </w:rPr>
        <w:t xml:space="preserve">As </w:t>
      </w:r>
      <w:r w:rsidRPr="00E6771A">
        <w:t>font</w:t>
      </w:r>
      <w:r>
        <w:t>e</w:t>
      </w:r>
      <w:r w:rsidRPr="00E6771A">
        <w:t>s,</w:t>
      </w:r>
      <w:r w:rsidRPr="00E6771A">
        <w:rPr>
          <w:sz w:val="24"/>
          <w:szCs w:val="24"/>
        </w:rPr>
        <w:t xml:space="preserve"> de receita do Fundo encontram-se devidamente especificadas, abrangendo transferências governamentais, doações, contribuições, rendimentos financeiros, multas e demais receitas legalmente admitidas.</w:t>
      </w:r>
    </w:p>
    <w:p w:rsidR="009F7754" w:rsidRPr="00E6771A" w:rsidP="009F7754">
      <w:pPr>
        <w:pStyle w:val="BodyText"/>
        <w:ind w:firstLine="708"/>
        <w:rPr>
          <w:sz w:val="24"/>
          <w:szCs w:val="24"/>
        </w:rPr>
      </w:pPr>
      <w:r w:rsidRPr="00E6771A">
        <w:rPr>
          <w:sz w:val="24"/>
          <w:szCs w:val="24"/>
        </w:rPr>
        <w:t xml:space="preserve">Assim, não se verificam incompatibilidades com o Plano Plurianual – </w:t>
      </w:r>
      <w:r>
        <w:rPr>
          <w:sz w:val="24"/>
          <w:szCs w:val="24"/>
        </w:rPr>
        <w:t>(</w:t>
      </w:r>
      <w:r w:rsidRPr="00E6771A">
        <w:rPr>
          <w:sz w:val="24"/>
          <w:szCs w:val="24"/>
        </w:rPr>
        <w:t>PPA</w:t>
      </w:r>
      <w:r>
        <w:rPr>
          <w:sz w:val="24"/>
          <w:szCs w:val="24"/>
        </w:rPr>
        <w:t>)</w:t>
      </w:r>
      <w:r w:rsidRPr="00E6771A">
        <w:rPr>
          <w:sz w:val="24"/>
          <w:szCs w:val="24"/>
        </w:rPr>
        <w:t xml:space="preserve">, Lei de Diretrizes Orçamentárias – </w:t>
      </w:r>
      <w:r>
        <w:rPr>
          <w:sz w:val="24"/>
          <w:szCs w:val="24"/>
        </w:rPr>
        <w:t>(</w:t>
      </w:r>
      <w:r w:rsidRPr="00E6771A">
        <w:rPr>
          <w:sz w:val="24"/>
          <w:szCs w:val="24"/>
        </w:rPr>
        <w:t>LDO</w:t>
      </w:r>
      <w:r>
        <w:rPr>
          <w:sz w:val="24"/>
          <w:szCs w:val="24"/>
        </w:rPr>
        <w:t>)</w:t>
      </w:r>
      <w:r w:rsidRPr="00E6771A">
        <w:rPr>
          <w:sz w:val="24"/>
          <w:szCs w:val="24"/>
        </w:rPr>
        <w:t xml:space="preserve"> ou Lei Orçamentária Anual – </w:t>
      </w:r>
      <w:r>
        <w:rPr>
          <w:sz w:val="24"/>
          <w:szCs w:val="24"/>
        </w:rPr>
        <w:t>(</w:t>
      </w:r>
      <w:r w:rsidRPr="00E6771A">
        <w:rPr>
          <w:sz w:val="24"/>
          <w:szCs w:val="24"/>
        </w:rPr>
        <w:t>LOA</w:t>
      </w:r>
      <w:r>
        <w:rPr>
          <w:sz w:val="24"/>
          <w:szCs w:val="24"/>
        </w:rPr>
        <w:t>)</w:t>
      </w:r>
      <w:r w:rsidRPr="00E6771A">
        <w:rPr>
          <w:sz w:val="24"/>
          <w:szCs w:val="24"/>
        </w:rPr>
        <w:t>.</w:t>
      </w:r>
    </w:p>
    <w:p w:rsidR="00356F16" w:rsidRPr="00473ECC" w:rsidP="00473ECC">
      <w:pPr>
        <w:pStyle w:val="BodyText"/>
        <w:ind w:firstLine="708"/>
        <w:rPr>
          <w:sz w:val="24"/>
          <w:szCs w:val="24"/>
        </w:rPr>
      </w:pPr>
    </w:p>
    <w:p w:rsidR="00473ECC" w:rsidRPr="00473ECC" w:rsidP="00473ECC">
      <w:pPr>
        <w:pStyle w:val="BodyText"/>
        <w:rPr>
          <w:sz w:val="24"/>
          <w:szCs w:val="24"/>
        </w:rPr>
      </w:pPr>
      <w:r w:rsidRPr="00473ECC">
        <w:rPr>
          <w:sz w:val="24"/>
          <w:szCs w:val="24"/>
        </w:rPr>
        <w:t>IV – DA ANÁLISE DE MÉRITO</w:t>
      </w:r>
      <w:r w:rsidR="00622EE2">
        <w:rPr>
          <w:sz w:val="24"/>
          <w:szCs w:val="24"/>
        </w:rPr>
        <w:t xml:space="preserve"> DA PROPOSIÇÃO</w:t>
      </w:r>
    </w:p>
    <w:p w:rsidR="00622EE2" w:rsidRPr="00060219" w:rsidP="00622EE2">
      <w:pPr>
        <w:pStyle w:val="MdParagraph"/>
        <w:ind w:firstLine="360"/>
        <w:jc w:val="both"/>
      </w:pPr>
      <w:r w:rsidRPr="00060219">
        <w:t>O Projeto de Lei nº 63/2026</w:t>
      </w:r>
      <w:r>
        <w:t>,</w:t>
      </w:r>
      <w:r w:rsidRPr="00060219">
        <w:t xml:space="preserve"> busca modernizar a gestão do Fundo Municipal dos Direitos da Pessoa Idosa, revogando a Lei Municipal nº 5.378, de 14 de junho de 2013, e consolidando as normas em um novo diploma legal. As principais alterações e seus impactos são:</w:t>
      </w:r>
    </w:p>
    <w:p w:rsidR="00622EE2" w:rsidRPr="00060219" w:rsidP="00622EE2">
      <w:pPr>
        <w:pStyle w:val="MdSpace"/>
        <w:spacing w:after="60"/>
        <w:rPr>
          <w:sz w:val="24"/>
          <w:szCs w:val="24"/>
        </w:rPr>
      </w:pPr>
    </w:p>
    <w:p w:rsidR="00622EE2" w:rsidP="00622EE2">
      <w:pPr>
        <w:pStyle w:val="MdParagraph"/>
        <w:numPr>
          <w:ilvl w:val="0"/>
          <w:numId w:val="19"/>
        </w:numPr>
        <w:rPr>
          <w:rStyle w:val="MdStrong"/>
        </w:rPr>
      </w:pPr>
      <w:r w:rsidRPr="00060219">
        <w:rPr>
          <w:rStyle w:val="MdStrong"/>
        </w:rPr>
        <w:t>Vinculação Administrativa:</w:t>
      </w:r>
    </w:p>
    <w:tbl>
      <w:tblPr>
        <w:tblStyle w:val="TableGrid"/>
        <w:tblW w:w="0" w:type="auto"/>
        <w:tblLook w:val="04A0"/>
      </w:tblPr>
      <w:tblGrid>
        <w:gridCol w:w="1838"/>
        <w:gridCol w:w="7178"/>
      </w:tblGrid>
      <w:tr w:rsidTr="007E7EA1">
        <w:tblPrEx>
          <w:tblW w:w="0" w:type="auto"/>
          <w:tblLook w:val="04A0"/>
        </w:tblPrEx>
        <w:tc>
          <w:tcPr>
            <w:tcW w:w="1838" w:type="dxa"/>
            <w:shd w:val="clear" w:color="auto" w:fill="D9D9D9" w:themeFill="background1" w:themeFillShade="D9"/>
          </w:tcPr>
          <w:p w:rsidR="00622EE2" w:rsidP="007E7EA1">
            <w:pPr>
              <w:pStyle w:val="MdParagraph"/>
              <w:jc w:val="center"/>
            </w:pPr>
            <w:r w:rsidRPr="00060219">
              <w:rPr>
                <w:rStyle w:val="MdStrong"/>
              </w:rPr>
              <w:t>Antes</w:t>
            </w:r>
          </w:p>
        </w:tc>
        <w:tc>
          <w:tcPr>
            <w:tcW w:w="7178" w:type="dxa"/>
            <w:shd w:val="clear" w:color="auto" w:fill="D9D9D9" w:themeFill="background1" w:themeFillShade="D9"/>
          </w:tcPr>
          <w:p w:rsidR="00622EE2" w:rsidP="007E7EA1">
            <w:pPr>
              <w:pStyle w:val="MdParagraph"/>
              <w:jc w:val="both"/>
            </w:pPr>
            <w:r w:rsidRPr="00060219">
              <w:t>O FMDPI era vinculado à Secretaria Municipal de Assistência Social</w:t>
            </w:r>
            <w:r>
              <w:t>.</w:t>
            </w:r>
          </w:p>
        </w:tc>
      </w:tr>
      <w:tr w:rsidTr="007E7EA1">
        <w:tblPrEx>
          <w:tblW w:w="0" w:type="auto"/>
          <w:tblLook w:val="04A0"/>
        </w:tblPrEx>
        <w:tc>
          <w:tcPr>
            <w:tcW w:w="1838" w:type="dxa"/>
          </w:tcPr>
          <w:p w:rsidR="00622EE2" w:rsidRPr="00D95FAE" w:rsidP="007E7EA1">
            <w:pPr>
              <w:pStyle w:val="MdParagraph"/>
              <w:jc w:val="center"/>
              <w:rPr>
                <w:b/>
              </w:rPr>
            </w:pPr>
            <w:r w:rsidRPr="00D95FAE">
              <w:rPr>
                <w:b/>
              </w:rPr>
              <w:t>Depois</w:t>
            </w:r>
          </w:p>
        </w:tc>
        <w:tc>
          <w:tcPr>
            <w:tcW w:w="7178" w:type="dxa"/>
          </w:tcPr>
          <w:p w:rsidR="00622EE2" w:rsidP="007E7EA1">
            <w:pPr>
              <w:pStyle w:val="MdParagraph"/>
              <w:jc w:val="both"/>
            </w:pPr>
            <w:r w:rsidRPr="00060219">
              <w:t>Com a reestruturação administrativa promovida pela Lei Complementar nº 403/2025, o FMDPI passa a ser vinculado à Secretaria Municipal de Cidadania e Direitos da Pessoa com Deficiência</w:t>
            </w:r>
            <w:r>
              <w:t>.</w:t>
            </w:r>
          </w:p>
        </w:tc>
      </w:tr>
      <w:tr w:rsidTr="007E7EA1">
        <w:tblPrEx>
          <w:tblW w:w="0" w:type="auto"/>
          <w:tblLook w:val="04A0"/>
        </w:tblPrEx>
        <w:tc>
          <w:tcPr>
            <w:tcW w:w="1838" w:type="dxa"/>
            <w:shd w:val="clear" w:color="auto" w:fill="D9D9D9" w:themeFill="background1" w:themeFillShade="D9"/>
          </w:tcPr>
          <w:p w:rsidR="00622EE2" w:rsidRPr="00D95FAE" w:rsidP="007E7EA1">
            <w:pPr>
              <w:pStyle w:val="MdParagraph"/>
              <w:jc w:val="center"/>
              <w:rPr>
                <w:b/>
              </w:rPr>
            </w:pPr>
            <w:r w:rsidRPr="00D95FAE">
              <w:rPr>
                <w:b/>
              </w:rPr>
              <w:t>Vantagens</w:t>
            </w:r>
          </w:p>
        </w:tc>
        <w:tc>
          <w:tcPr>
            <w:tcW w:w="7178" w:type="dxa"/>
            <w:shd w:val="clear" w:color="auto" w:fill="D9D9D9" w:themeFill="background1" w:themeFillShade="D9"/>
          </w:tcPr>
          <w:p w:rsidR="00622EE2" w:rsidP="007E7EA1">
            <w:pPr>
              <w:pStyle w:val="MdParagraph"/>
              <w:jc w:val="both"/>
            </w:pPr>
            <w:r>
              <w:t xml:space="preserve">. </w:t>
            </w:r>
            <w:r w:rsidRPr="00060219">
              <w:t>Alinhamento com a nova estrutura organizacional do Executivo</w:t>
            </w:r>
            <w:r>
              <w:t>;</w:t>
            </w:r>
          </w:p>
          <w:p w:rsidR="00622EE2" w:rsidP="00622EE2">
            <w:pPr>
              <w:pStyle w:val="MdParagraph"/>
              <w:jc w:val="both"/>
            </w:pPr>
            <w:r>
              <w:t>. O</w:t>
            </w:r>
            <w:r w:rsidRPr="00060219">
              <w:t>timização da gestão e especialização das políticas públicas</w:t>
            </w:r>
            <w:r>
              <w:t>;</w:t>
            </w:r>
          </w:p>
          <w:p w:rsidR="00622EE2" w:rsidP="00622EE2">
            <w:pPr>
              <w:pStyle w:val="MdParagraph"/>
              <w:jc w:val="both"/>
            </w:pPr>
            <w:r>
              <w:t xml:space="preserve">. Melhor integração com os orgãos </w:t>
            </w:r>
            <w:r w:rsidRPr="00060219">
              <w:t>voltadas</w:t>
            </w:r>
            <w:r w:rsidRPr="00060219">
              <w:t xml:space="preserve"> à cidadania e direitos das pessoas com deficiência e idosas.</w:t>
            </w:r>
          </w:p>
        </w:tc>
      </w:tr>
      <w:tr w:rsidTr="007E7EA1">
        <w:tblPrEx>
          <w:tblW w:w="0" w:type="auto"/>
          <w:tblLook w:val="04A0"/>
        </w:tblPrEx>
        <w:trPr>
          <w:trHeight w:val="560"/>
        </w:trPr>
        <w:tc>
          <w:tcPr>
            <w:tcW w:w="1838" w:type="dxa"/>
          </w:tcPr>
          <w:p w:rsidR="00622EE2" w:rsidRPr="00D95FAE" w:rsidP="007E7EA1">
            <w:pPr>
              <w:pStyle w:val="MdParagraph"/>
              <w:jc w:val="center"/>
              <w:rPr>
                <w:b/>
              </w:rPr>
            </w:pPr>
            <w:r w:rsidRPr="00D95FAE">
              <w:rPr>
                <w:b/>
              </w:rPr>
              <w:t>Desvantagens</w:t>
            </w:r>
          </w:p>
        </w:tc>
        <w:tc>
          <w:tcPr>
            <w:tcW w:w="7178" w:type="dxa"/>
          </w:tcPr>
          <w:p w:rsidR="00622EE2" w:rsidRPr="00060219" w:rsidP="007E7EA1">
            <w:pPr>
              <w:pStyle w:val="MdListItem"/>
              <w:ind w:left="0" w:firstLine="0"/>
              <w:jc w:val="both"/>
            </w:pPr>
            <w:r w:rsidRPr="00060219">
              <w:t xml:space="preserve">Necessidade de adaptação dos fluxos e </w:t>
            </w:r>
            <w:r>
              <w:t xml:space="preserve">processos administrativos entre </w:t>
            </w:r>
            <w:r w:rsidRPr="00060219">
              <w:t>as secretarias.</w:t>
            </w:r>
          </w:p>
          <w:p w:rsidR="00622EE2" w:rsidP="007E7EA1">
            <w:pPr>
              <w:pStyle w:val="MdParagraph"/>
              <w:jc w:val="both"/>
            </w:pPr>
          </w:p>
        </w:tc>
      </w:tr>
    </w:tbl>
    <w:p w:rsidR="00622EE2" w:rsidRPr="00060219" w:rsidP="00622EE2">
      <w:pPr>
        <w:pStyle w:val="MdParagraph"/>
        <w:ind w:firstLine="720"/>
      </w:pPr>
    </w:p>
    <w:p w:rsidR="00622EE2" w:rsidP="00622EE2">
      <w:pPr>
        <w:pStyle w:val="MdSpace"/>
        <w:spacing w:after="60"/>
        <w:rPr>
          <w:sz w:val="24"/>
          <w:szCs w:val="24"/>
        </w:rPr>
      </w:pPr>
    </w:p>
    <w:p w:rsidR="00D150EF" w:rsidP="00622EE2">
      <w:pPr>
        <w:pStyle w:val="MdSpace"/>
        <w:spacing w:after="60"/>
        <w:rPr>
          <w:sz w:val="24"/>
          <w:szCs w:val="24"/>
        </w:rPr>
      </w:pPr>
    </w:p>
    <w:p w:rsidR="00D150EF" w:rsidRPr="00060219" w:rsidP="00622EE2">
      <w:pPr>
        <w:pStyle w:val="MdSpace"/>
        <w:spacing w:after="60"/>
        <w:rPr>
          <w:sz w:val="24"/>
          <w:szCs w:val="24"/>
        </w:rPr>
      </w:pPr>
    </w:p>
    <w:p w:rsidR="00622EE2" w:rsidRPr="00060219" w:rsidP="00622EE2">
      <w:pPr>
        <w:pStyle w:val="MdSpace"/>
        <w:spacing w:after="60"/>
        <w:rPr>
          <w:sz w:val="24"/>
          <w:szCs w:val="24"/>
        </w:rPr>
      </w:pPr>
    </w:p>
    <w:p w:rsidR="00622EE2" w:rsidP="003361E8">
      <w:pPr>
        <w:pStyle w:val="MdParagraph"/>
        <w:numPr>
          <w:ilvl w:val="0"/>
          <w:numId w:val="19"/>
        </w:numPr>
        <w:rPr>
          <w:rStyle w:val="MdStrong"/>
        </w:rPr>
      </w:pPr>
      <w:r w:rsidRPr="00060219">
        <w:rPr>
          <w:rStyle w:val="MdStrong"/>
        </w:rPr>
        <w:t>Gestão e Planejamento:</w:t>
      </w:r>
    </w:p>
    <w:tbl>
      <w:tblPr>
        <w:tblStyle w:val="TableGrid"/>
        <w:tblW w:w="0" w:type="auto"/>
        <w:tblInd w:w="720" w:type="dxa"/>
        <w:tblLook w:val="04A0"/>
      </w:tblPr>
      <w:tblGrid>
        <w:gridCol w:w="1617"/>
        <w:gridCol w:w="6679"/>
      </w:tblGrid>
      <w:tr w:rsidTr="007E7EA1">
        <w:tblPrEx>
          <w:tblW w:w="0" w:type="auto"/>
          <w:tblInd w:w="720" w:type="dxa"/>
          <w:tblLook w:val="04A0"/>
        </w:tblPrEx>
        <w:tc>
          <w:tcPr>
            <w:tcW w:w="1617" w:type="dxa"/>
            <w:shd w:val="clear" w:color="auto" w:fill="D9D9D9" w:themeFill="background1" w:themeFillShade="D9"/>
          </w:tcPr>
          <w:p w:rsidR="00622EE2" w:rsidRPr="00D95FAE" w:rsidP="007E7EA1">
            <w:pPr>
              <w:pStyle w:val="MdParagraph"/>
              <w:jc w:val="center"/>
              <w:rPr>
                <w:b/>
              </w:rPr>
            </w:pPr>
            <w:r w:rsidRPr="00D95FAE">
              <w:rPr>
                <w:b/>
              </w:rPr>
              <w:t>Antes</w:t>
            </w:r>
          </w:p>
        </w:tc>
        <w:tc>
          <w:tcPr>
            <w:tcW w:w="6679" w:type="dxa"/>
            <w:shd w:val="clear" w:color="auto" w:fill="D9D9D9" w:themeFill="background1" w:themeFillShade="D9"/>
          </w:tcPr>
          <w:p w:rsidR="00622EE2" w:rsidP="00D150EF">
            <w:pPr>
              <w:pStyle w:val="MdParagraph"/>
              <w:jc w:val="both"/>
            </w:pPr>
            <w:r w:rsidRPr="00060219">
              <w:t xml:space="preserve">A gestão do Fundo não possuía instrumentos </w:t>
            </w:r>
            <w:r w:rsidR="001B11B1">
              <w:t xml:space="preserve">detalhados </w:t>
            </w:r>
            <w:r w:rsidRPr="00060219">
              <w:t xml:space="preserve">de planejamento </w:t>
            </w:r>
            <w:r>
              <w:t>anual</w:t>
            </w:r>
            <w:r>
              <w:t>.</w:t>
            </w:r>
          </w:p>
        </w:tc>
      </w:tr>
      <w:tr w:rsidTr="007E7EA1">
        <w:tblPrEx>
          <w:tblW w:w="0" w:type="auto"/>
          <w:tblInd w:w="720" w:type="dxa"/>
          <w:tblLook w:val="04A0"/>
        </w:tblPrEx>
        <w:tc>
          <w:tcPr>
            <w:tcW w:w="1617" w:type="dxa"/>
          </w:tcPr>
          <w:p w:rsidR="00622EE2" w:rsidRPr="00D95FAE" w:rsidP="007E7EA1">
            <w:pPr>
              <w:pStyle w:val="MdParagraph"/>
              <w:jc w:val="center"/>
              <w:rPr>
                <w:b/>
              </w:rPr>
            </w:pPr>
            <w:r w:rsidRPr="00D95FAE">
              <w:rPr>
                <w:b/>
              </w:rPr>
              <w:t>Depois</w:t>
            </w:r>
          </w:p>
        </w:tc>
        <w:tc>
          <w:tcPr>
            <w:tcW w:w="6679" w:type="dxa"/>
          </w:tcPr>
          <w:p w:rsidR="00622EE2" w:rsidP="00D150EF">
            <w:pPr>
              <w:pStyle w:val="MdParagraph"/>
              <w:jc w:val="both"/>
            </w:pPr>
            <w:r w:rsidRPr="00060219">
              <w:t xml:space="preserve">O projeto estabelece </w:t>
            </w:r>
            <w:r w:rsidR="001B11B1">
              <w:t>á</w:t>
            </w:r>
            <w:r w:rsidRPr="00060219">
              <w:t xml:space="preserve"> obrigatoriedade de elaboração de Planos</w:t>
            </w:r>
            <w:r w:rsidR="001B11B1">
              <w:t xml:space="preserve"> de Ação e Planos de Aplicação A</w:t>
            </w:r>
            <w:r w:rsidRPr="00060219">
              <w:t>nuais pelo CMDPI, com a Secretaria gestora responsável pela execução</w:t>
            </w:r>
            <w:r>
              <w:t>.</w:t>
            </w:r>
          </w:p>
        </w:tc>
      </w:tr>
      <w:tr w:rsidTr="007E7EA1">
        <w:tblPrEx>
          <w:tblW w:w="0" w:type="auto"/>
          <w:tblInd w:w="720" w:type="dxa"/>
          <w:tblLook w:val="04A0"/>
        </w:tblPrEx>
        <w:tc>
          <w:tcPr>
            <w:tcW w:w="1617" w:type="dxa"/>
            <w:shd w:val="clear" w:color="auto" w:fill="D9D9D9" w:themeFill="background1" w:themeFillShade="D9"/>
          </w:tcPr>
          <w:p w:rsidR="00622EE2" w:rsidRPr="00D95FAE" w:rsidP="007E7EA1">
            <w:pPr>
              <w:pStyle w:val="MdParagraph"/>
              <w:jc w:val="center"/>
              <w:rPr>
                <w:b/>
              </w:rPr>
            </w:pPr>
            <w:r w:rsidRPr="00D95FAE">
              <w:rPr>
                <w:b/>
              </w:rPr>
              <w:t>Vantagens</w:t>
            </w:r>
          </w:p>
        </w:tc>
        <w:tc>
          <w:tcPr>
            <w:tcW w:w="6679" w:type="dxa"/>
            <w:shd w:val="clear" w:color="auto" w:fill="D9D9D9" w:themeFill="background1" w:themeFillShade="D9"/>
          </w:tcPr>
          <w:p w:rsidR="001B11B1" w:rsidP="007E7EA1">
            <w:pPr>
              <w:pStyle w:val="MdParagraph"/>
            </w:pPr>
            <w:r>
              <w:t xml:space="preserve">. </w:t>
            </w:r>
            <w:r w:rsidRPr="00060219" w:rsidR="00622EE2">
              <w:t>Maior transparência</w:t>
            </w:r>
            <w:r>
              <w:t>;</w:t>
            </w:r>
          </w:p>
          <w:p w:rsidR="001B11B1" w:rsidP="001B11B1">
            <w:pPr>
              <w:pStyle w:val="MdParagraph"/>
            </w:pPr>
            <w:r>
              <w:t>. Fortalecimento do c</w:t>
            </w:r>
            <w:r w:rsidRPr="00060219" w:rsidR="00622EE2">
              <w:t>ontrole social</w:t>
            </w:r>
            <w:r>
              <w:t>;</w:t>
            </w:r>
          </w:p>
          <w:p w:rsidR="001B11B1" w:rsidP="001B11B1">
            <w:pPr>
              <w:pStyle w:val="MdParagraph"/>
            </w:pPr>
            <w:r>
              <w:t>. R</w:t>
            </w:r>
            <w:r w:rsidRPr="00060219" w:rsidR="00622EE2">
              <w:t>acional</w:t>
            </w:r>
            <w:r>
              <w:t>idade na aplicação dos recursos;</w:t>
            </w:r>
          </w:p>
          <w:p w:rsidR="00622EE2" w:rsidP="00D150EF">
            <w:pPr>
              <w:pStyle w:val="MdParagraph"/>
              <w:jc w:val="both"/>
            </w:pPr>
            <w:r>
              <w:t>. A</w:t>
            </w:r>
            <w:r w:rsidRPr="00060219">
              <w:t>linhamento com as prioridades definidas pelo Conselho e mo</w:t>
            </w:r>
            <w:r>
              <w:t xml:space="preserve"> -</w:t>
            </w:r>
            <w:r w:rsidRPr="00060219">
              <w:t>nitoramento efetivo das ações.</w:t>
            </w:r>
          </w:p>
        </w:tc>
      </w:tr>
      <w:tr w:rsidTr="007E7EA1">
        <w:tblPrEx>
          <w:tblW w:w="0" w:type="auto"/>
          <w:tblInd w:w="720" w:type="dxa"/>
          <w:tblLook w:val="04A0"/>
        </w:tblPrEx>
        <w:tc>
          <w:tcPr>
            <w:tcW w:w="1617" w:type="dxa"/>
          </w:tcPr>
          <w:p w:rsidR="00622EE2" w:rsidRPr="00D95FAE" w:rsidP="007E7EA1">
            <w:pPr>
              <w:pStyle w:val="MdParagraph"/>
              <w:jc w:val="center"/>
              <w:rPr>
                <w:b/>
              </w:rPr>
            </w:pPr>
            <w:r w:rsidRPr="00D95FAE">
              <w:rPr>
                <w:b/>
              </w:rPr>
              <w:t>Desvantagens</w:t>
            </w:r>
          </w:p>
        </w:tc>
        <w:tc>
          <w:tcPr>
            <w:tcW w:w="6679" w:type="dxa"/>
          </w:tcPr>
          <w:p w:rsidR="00622EE2" w:rsidP="00D150EF">
            <w:pPr>
              <w:pStyle w:val="MdParagraph"/>
              <w:jc w:val="both"/>
            </w:pPr>
            <w:r w:rsidRPr="00060219">
              <w:t>Aumento da burocracia para o CMDPI e a Secretaria gestora na elaboração e acompanhamento dos planos.</w:t>
            </w:r>
          </w:p>
        </w:tc>
      </w:tr>
    </w:tbl>
    <w:p w:rsidR="00622EE2" w:rsidRPr="00060219" w:rsidP="00622EE2">
      <w:pPr>
        <w:pStyle w:val="MdSpace"/>
        <w:spacing w:after="60"/>
        <w:rPr>
          <w:sz w:val="24"/>
          <w:szCs w:val="24"/>
        </w:rPr>
      </w:pPr>
    </w:p>
    <w:p w:rsidR="00622EE2" w:rsidP="00622EE2">
      <w:pPr>
        <w:pStyle w:val="MdParagraph"/>
        <w:numPr>
          <w:ilvl w:val="0"/>
          <w:numId w:val="19"/>
        </w:numPr>
        <w:rPr>
          <w:rStyle w:val="MdStrong"/>
        </w:rPr>
      </w:pPr>
      <w:r w:rsidRPr="00060219">
        <w:rPr>
          <w:rStyle w:val="MdStrong"/>
        </w:rPr>
        <w:t>Fontes e Aplicação de Recursos:</w:t>
      </w:r>
    </w:p>
    <w:tbl>
      <w:tblPr>
        <w:tblStyle w:val="TableGrid"/>
        <w:tblW w:w="0" w:type="auto"/>
        <w:tblInd w:w="720" w:type="dxa"/>
        <w:tblLook w:val="04A0"/>
      </w:tblPr>
      <w:tblGrid>
        <w:gridCol w:w="1685"/>
        <w:gridCol w:w="6611"/>
      </w:tblGrid>
      <w:tr w:rsidTr="009D1630">
        <w:tblPrEx>
          <w:tblW w:w="0" w:type="auto"/>
          <w:tblInd w:w="720" w:type="dxa"/>
          <w:tblLook w:val="04A0"/>
        </w:tblPrEx>
        <w:tc>
          <w:tcPr>
            <w:tcW w:w="1685" w:type="dxa"/>
            <w:shd w:val="clear" w:color="auto" w:fill="D9D9D9" w:themeFill="background1" w:themeFillShade="D9"/>
          </w:tcPr>
          <w:p w:rsidR="00622EE2" w:rsidRPr="00D95FAE" w:rsidP="007E7EA1">
            <w:pPr>
              <w:pStyle w:val="MdParagraph"/>
              <w:jc w:val="center"/>
              <w:rPr>
                <w:b/>
              </w:rPr>
            </w:pPr>
            <w:r w:rsidRPr="00D95FAE">
              <w:rPr>
                <w:b/>
              </w:rPr>
              <w:t>Antes</w:t>
            </w:r>
          </w:p>
        </w:tc>
        <w:tc>
          <w:tcPr>
            <w:tcW w:w="6611" w:type="dxa"/>
            <w:shd w:val="clear" w:color="auto" w:fill="D9D9D9" w:themeFill="background1" w:themeFillShade="D9"/>
          </w:tcPr>
          <w:p w:rsidR="00622EE2" w:rsidP="00D150EF">
            <w:pPr>
              <w:pStyle w:val="MdParagraph"/>
              <w:jc w:val="both"/>
            </w:pPr>
            <w:r w:rsidRPr="00060219">
              <w:t>As fontes de recursos eram menos detalhadas e a aplicação mais genérica</w:t>
            </w:r>
            <w:r>
              <w:t>.</w:t>
            </w:r>
          </w:p>
        </w:tc>
      </w:tr>
      <w:tr w:rsidTr="009D1630">
        <w:tblPrEx>
          <w:tblW w:w="0" w:type="auto"/>
          <w:tblInd w:w="720" w:type="dxa"/>
          <w:tblLook w:val="04A0"/>
        </w:tblPrEx>
        <w:tc>
          <w:tcPr>
            <w:tcW w:w="1685" w:type="dxa"/>
          </w:tcPr>
          <w:p w:rsidR="00622EE2" w:rsidRPr="00D95FAE" w:rsidP="007E7EA1">
            <w:pPr>
              <w:pStyle w:val="MdParagraph"/>
              <w:jc w:val="center"/>
              <w:rPr>
                <w:b/>
              </w:rPr>
            </w:pPr>
            <w:r w:rsidRPr="00D95FAE">
              <w:rPr>
                <w:b/>
              </w:rPr>
              <w:t>Depois</w:t>
            </w:r>
          </w:p>
        </w:tc>
        <w:tc>
          <w:tcPr>
            <w:tcW w:w="6611" w:type="dxa"/>
          </w:tcPr>
          <w:p w:rsidR="00622EE2" w:rsidP="00D150EF">
            <w:pPr>
              <w:pStyle w:val="MdParagraph"/>
              <w:jc w:val="both"/>
            </w:pPr>
            <w:r w:rsidRPr="00060219">
              <w:t>O projeto elenca de forma exaustiva as fontes de recursos (transferências, doações incentivadas do IR, multas, etc.) e estabelece um rateio claro: 10% para custeio do CMDPI e 90% para programas, projetos e ações aprovados via chamamento público</w:t>
            </w:r>
            <w:r>
              <w:t>.</w:t>
            </w:r>
          </w:p>
        </w:tc>
      </w:tr>
      <w:tr w:rsidTr="009D1630">
        <w:tblPrEx>
          <w:tblW w:w="0" w:type="auto"/>
          <w:tblInd w:w="720" w:type="dxa"/>
          <w:tblLook w:val="04A0"/>
        </w:tblPrEx>
        <w:tc>
          <w:tcPr>
            <w:tcW w:w="1685" w:type="dxa"/>
            <w:shd w:val="clear" w:color="auto" w:fill="D9D9D9" w:themeFill="background1" w:themeFillShade="D9"/>
          </w:tcPr>
          <w:p w:rsidR="00622EE2" w:rsidRPr="00D95FAE" w:rsidP="007E7EA1">
            <w:pPr>
              <w:pStyle w:val="MdParagraph"/>
              <w:jc w:val="center"/>
              <w:rPr>
                <w:b/>
              </w:rPr>
            </w:pPr>
            <w:r w:rsidRPr="00D95FAE">
              <w:rPr>
                <w:b/>
              </w:rPr>
              <w:t>Vantagens</w:t>
            </w:r>
          </w:p>
        </w:tc>
        <w:tc>
          <w:tcPr>
            <w:tcW w:w="6611" w:type="dxa"/>
            <w:shd w:val="clear" w:color="auto" w:fill="D9D9D9" w:themeFill="background1" w:themeFillShade="D9"/>
          </w:tcPr>
          <w:p w:rsidR="009D1630" w:rsidP="007E7EA1">
            <w:pPr>
              <w:pStyle w:val="MdParagraph"/>
            </w:pPr>
            <w:r>
              <w:t xml:space="preserve">. </w:t>
            </w:r>
            <w:r w:rsidRPr="00060219" w:rsidR="00622EE2">
              <w:t>Maior segurança jurídica na captação</w:t>
            </w:r>
            <w:r>
              <w:t xml:space="preserve"> de recursos;</w:t>
            </w:r>
          </w:p>
          <w:p w:rsidR="009D1630" w:rsidP="009D1630">
            <w:pPr>
              <w:pStyle w:val="MdParagraph"/>
            </w:pPr>
            <w:r>
              <w:t>. A</w:t>
            </w:r>
            <w:r w:rsidRPr="00060219" w:rsidR="00622EE2">
              <w:t>plicação</w:t>
            </w:r>
            <w:r>
              <w:t xml:space="preserve"> das possibilidades de captação de recursos;</w:t>
            </w:r>
          </w:p>
          <w:p w:rsidR="00622EE2" w:rsidP="00D150EF">
            <w:pPr>
              <w:pStyle w:val="MdParagraph"/>
              <w:jc w:val="both"/>
            </w:pPr>
            <w:r>
              <w:t>. I</w:t>
            </w:r>
            <w:r w:rsidRPr="00060219">
              <w:t xml:space="preserve">ncentivo </w:t>
            </w:r>
            <w:r w:rsidRPr="00060219">
              <w:t>as</w:t>
            </w:r>
            <w:r w:rsidRPr="00060219">
              <w:t xml:space="preserve"> doações dedutíveis do IR, garantia de recursos para o funcionamento do Conselho e fomento à participação de organizações da sociedade civil na execução de políticas para idos</w:t>
            </w:r>
            <w:r>
              <w:t>os;</w:t>
            </w:r>
          </w:p>
          <w:p w:rsidR="009D1630" w:rsidP="009D1630">
            <w:pPr>
              <w:pStyle w:val="MdParagraph"/>
            </w:pPr>
            <w:r>
              <w:t>. Maior transparência na execução financeira;</w:t>
            </w:r>
          </w:p>
          <w:p w:rsidR="009D1630" w:rsidP="009D1630">
            <w:pPr>
              <w:pStyle w:val="MdParagraph"/>
            </w:pPr>
            <w:r>
              <w:t>. Fortalecimento das políticas públicas voltadas à pessoa idosa.</w:t>
            </w:r>
          </w:p>
        </w:tc>
      </w:tr>
      <w:tr w:rsidTr="009D1630">
        <w:tblPrEx>
          <w:tblW w:w="0" w:type="auto"/>
          <w:tblInd w:w="720" w:type="dxa"/>
          <w:tblLook w:val="04A0"/>
        </w:tblPrEx>
        <w:tc>
          <w:tcPr>
            <w:tcW w:w="1685" w:type="dxa"/>
          </w:tcPr>
          <w:p w:rsidR="00622EE2" w:rsidRPr="00D95FAE" w:rsidP="007E7EA1">
            <w:pPr>
              <w:pStyle w:val="MdParagraph"/>
              <w:jc w:val="center"/>
              <w:rPr>
                <w:b/>
              </w:rPr>
            </w:pPr>
            <w:r w:rsidRPr="00D95FAE">
              <w:rPr>
                <w:b/>
              </w:rPr>
              <w:t>Desvantagens</w:t>
            </w:r>
          </w:p>
        </w:tc>
        <w:tc>
          <w:tcPr>
            <w:tcW w:w="6611" w:type="dxa"/>
          </w:tcPr>
          <w:p w:rsidR="00622EE2" w:rsidP="00D150EF">
            <w:pPr>
              <w:pStyle w:val="MdParagraph"/>
              <w:jc w:val="both"/>
            </w:pPr>
            <w:r w:rsidRPr="00060219">
              <w:t>A vedação de repasse a entidades privadas, conforme o Art. 18, parágrafo único, deve ser interpretada em conformidade com a Lei nº 13.019/2014 (MROSC), que permite parcerias com organizações da sociedade civil mediante instrumentos jurídicos próprios e requisitos legais</w:t>
            </w:r>
            <w:r>
              <w:t>.</w:t>
            </w:r>
          </w:p>
        </w:tc>
      </w:tr>
    </w:tbl>
    <w:p w:rsidR="009D1630" w:rsidP="00473ECC">
      <w:pPr>
        <w:pStyle w:val="BodyText"/>
        <w:rPr>
          <w:sz w:val="24"/>
          <w:szCs w:val="24"/>
        </w:rPr>
      </w:pPr>
    </w:p>
    <w:p w:rsidR="00473ECC" w:rsidRPr="001D04F3" w:rsidP="00473ECC">
      <w:pPr>
        <w:pStyle w:val="BodyText"/>
        <w:rPr>
          <w:sz w:val="24"/>
          <w:szCs w:val="24"/>
        </w:rPr>
      </w:pPr>
      <w:r w:rsidRPr="001D04F3">
        <w:rPr>
          <w:sz w:val="24"/>
          <w:szCs w:val="24"/>
        </w:rPr>
        <w:t xml:space="preserve">VIII – </w:t>
      </w:r>
      <w:r w:rsidR="009D1630">
        <w:rPr>
          <w:sz w:val="24"/>
          <w:szCs w:val="24"/>
        </w:rPr>
        <w:t>PARECER D</w:t>
      </w:r>
      <w:r w:rsidRPr="001D04F3">
        <w:rPr>
          <w:sz w:val="24"/>
          <w:szCs w:val="24"/>
        </w:rPr>
        <w:t>O RELATOR</w:t>
      </w:r>
    </w:p>
    <w:p w:rsidR="00724D3B" w:rsidP="00724D3B">
      <w:pPr>
        <w:pStyle w:val="MdParagraph"/>
        <w:spacing w:line="276" w:lineRule="auto"/>
        <w:ind w:firstLine="708"/>
        <w:jc w:val="both"/>
      </w:pPr>
      <w:r>
        <w:t xml:space="preserve">Após análise da matéria sob os aspectos constitucional, legal, jurídico, regimental, financeiro e orçamentário, o relator </w:t>
      </w:r>
      <w:r w:rsidRPr="00060219">
        <w:t xml:space="preserve">Vereador Sargento Coran, </w:t>
      </w:r>
      <w:r>
        <w:t xml:space="preserve">conclui que o Projeto de Lei nº 63/2026, atende plenamente ao interesse público, fortalecendo a política municipal, destarte, </w:t>
      </w:r>
      <w:r w:rsidRPr="00060219">
        <w:t xml:space="preserve">manifesta-se </w:t>
      </w:r>
      <w:r w:rsidRPr="00724D3B">
        <w:rPr>
          <w:rStyle w:val="MdStrong"/>
          <w:b w:val="0"/>
        </w:rPr>
        <w:t>FAVORAVELMENTE</w:t>
      </w:r>
      <w:r w:rsidRPr="00724D3B">
        <w:rPr>
          <w:b/>
        </w:rPr>
        <w:t xml:space="preserve"> </w:t>
      </w:r>
      <w:r w:rsidRPr="00060219">
        <w:t>à aprovação do Projeto de Lei nº 63/2026. O Relator entende que a propositura está em plena conformidade com os princípios e diretrizes estabe</w:t>
      </w:r>
      <w:r>
        <w:t>lecidos na Constituição Federal</w:t>
      </w:r>
      <w:r w:rsidRPr="00060219">
        <w:t>, no Estatuto da Pessoa Idosa (Lei Federal nº 10.741/2003) e na Lei Federal nº 12.213/2010, que institui o Fundo Nacional do Idoso e autoriza a dedução de doações do Imposto de Renda. A reestruturação proposta fortalece o FMDPI, tornando-o um instrumento mais eficaz para a implementação de políticas públicas voltadas à pessoa idosa em Mogi Mirim, além de adequar a legislação municipal à nova realidade administrativa.</w:t>
      </w:r>
    </w:p>
    <w:p w:rsidR="00724D3B" w:rsidRPr="00060219" w:rsidP="00724D3B">
      <w:pPr>
        <w:pStyle w:val="MdParagraph"/>
        <w:spacing w:line="276" w:lineRule="auto"/>
        <w:ind w:firstLine="708"/>
        <w:jc w:val="both"/>
      </w:pPr>
      <w:r>
        <w:t xml:space="preserve">Não sendo identificados vícios de constitucionalidade, legalidade ou incompatibilidade financeira que impeçam sua tramitação. </w:t>
      </w:r>
    </w:p>
    <w:p w:rsidR="007929B9" w:rsidP="007929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3D6576" w:rsidP="007929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7929B9" w:rsidP="008219F5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F90C5D">
        <w:rPr>
          <w:sz w:val="24"/>
          <w:szCs w:val="24"/>
        </w:rPr>
        <w:t xml:space="preserve">Sala das Comissões, em </w:t>
      </w:r>
      <w:r w:rsidR="00473ECC">
        <w:rPr>
          <w:sz w:val="24"/>
          <w:szCs w:val="24"/>
        </w:rPr>
        <w:t>2</w:t>
      </w:r>
      <w:r w:rsidR="00D150EF">
        <w:rPr>
          <w:sz w:val="24"/>
          <w:szCs w:val="24"/>
        </w:rPr>
        <w:t>3</w:t>
      </w:r>
      <w:r w:rsidRPr="00F90C5D">
        <w:rPr>
          <w:sz w:val="24"/>
          <w:szCs w:val="24"/>
        </w:rPr>
        <w:t xml:space="preserve"> de </w:t>
      </w:r>
      <w:r w:rsidR="00473ECC">
        <w:rPr>
          <w:sz w:val="24"/>
          <w:szCs w:val="24"/>
        </w:rPr>
        <w:t>junh</w:t>
      </w:r>
      <w:r w:rsidRPr="00F90C5D">
        <w:rPr>
          <w:sz w:val="24"/>
          <w:szCs w:val="24"/>
        </w:rPr>
        <w:t>o de 202</w:t>
      </w:r>
      <w:r w:rsidR="00473ECC">
        <w:rPr>
          <w:sz w:val="24"/>
          <w:szCs w:val="24"/>
        </w:rPr>
        <w:t>6</w:t>
      </w:r>
      <w:r w:rsidRPr="00F90C5D">
        <w:rPr>
          <w:sz w:val="24"/>
          <w:szCs w:val="24"/>
        </w:rPr>
        <w:t>.</w:t>
      </w:r>
    </w:p>
    <w:p w:rsidR="007929B9" w:rsidP="007929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3D6576" w:rsidP="007929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AD3880" w:rsidP="007929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AD3880" w:rsidP="007929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8219F5" w:rsidP="007929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7929B9" w:rsidRPr="008219F5" w:rsidP="007929B9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8"/>
          <w:szCs w:val="18"/>
        </w:rPr>
      </w:pPr>
      <w:r w:rsidRPr="008219F5">
        <w:rPr>
          <w:i/>
          <w:iCs/>
          <w:sz w:val="18"/>
          <w:szCs w:val="18"/>
        </w:rPr>
        <w:t>(Documento assinado digitalmente)</w:t>
      </w:r>
    </w:p>
    <w:p w:rsidR="008219F5" w:rsidP="008219F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F90C5D">
        <w:rPr>
          <w:b/>
          <w:bCs/>
          <w:sz w:val="24"/>
          <w:szCs w:val="24"/>
        </w:rPr>
        <w:t>Vereador Sargento Coran</w:t>
      </w:r>
    </w:p>
    <w:p w:rsidR="007929B9" w:rsidP="008219F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F90C5D">
        <w:rPr>
          <w:b/>
          <w:bCs/>
          <w:sz w:val="24"/>
          <w:szCs w:val="24"/>
        </w:rPr>
        <w:t xml:space="preserve">Relator do Projeto de Lei nº </w:t>
      </w:r>
      <w:r w:rsidR="00473ECC">
        <w:rPr>
          <w:b/>
          <w:bCs/>
          <w:sz w:val="24"/>
          <w:szCs w:val="24"/>
        </w:rPr>
        <w:t>6</w:t>
      </w:r>
      <w:r w:rsidR="00D150EF">
        <w:rPr>
          <w:b/>
          <w:bCs/>
          <w:sz w:val="24"/>
          <w:szCs w:val="24"/>
        </w:rPr>
        <w:t>3</w:t>
      </w:r>
      <w:r w:rsidRPr="00F90C5D">
        <w:rPr>
          <w:b/>
          <w:bCs/>
          <w:sz w:val="24"/>
          <w:szCs w:val="24"/>
        </w:rPr>
        <w:t>/202</w:t>
      </w:r>
      <w:r w:rsidR="00473ECC">
        <w:rPr>
          <w:b/>
          <w:bCs/>
          <w:sz w:val="24"/>
          <w:szCs w:val="24"/>
        </w:rPr>
        <w:t>6</w:t>
      </w:r>
    </w:p>
    <w:p w:rsidR="00850C12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8219F5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AD3880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AD3880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AD3880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AD3880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AD3880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AD3880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356F16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356F16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356F16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AD3880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356F16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AD3880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3D6576" w:rsidRPr="00FE32E2" w:rsidP="0001185E">
      <w:pPr>
        <w:pStyle w:val="BodyText"/>
        <w:spacing w:line="240" w:lineRule="auto"/>
        <w:rPr>
          <w:b/>
          <w:color w:val="000000"/>
          <w:sz w:val="24"/>
          <w:szCs w:val="24"/>
        </w:rPr>
      </w:pPr>
      <w:r w:rsidRPr="00FE32E2">
        <w:rPr>
          <w:b/>
          <w:color w:val="000000"/>
          <w:sz w:val="24"/>
          <w:szCs w:val="24"/>
        </w:rPr>
        <w:t xml:space="preserve">PARECER FAVORÁVEL </w:t>
      </w:r>
      <w:r w:rsidR="0001185E">
        <w:rPr>
          <w:b/>
          <w:color w:val="000000"/>
          <w:sz w:val="24"/>
          <w:szCs w:val="24"/>
        </w:rPr>
        <w:t xml:space="preserve">CONJUNTO </w:t>
      </w:r>
      <w:r w:rsidRPr="00FE32E2">
        <w:rPr>
          <w:b/>
          <w:color w:val="000000"/>
          <w:sz w:val="24"/>
          <w:szCs w:val="24"/>
        </w:rPr>
        <w:t xml:space="preserve">DA COMISSÃO </w:t>
      </w:r>
      <w:r w:rsidR="00473ECC">
        <w:rPr>
          <w:b/>
          <w:color w:val="000000"/>
          <w:sz w:val="24"/>
          <w:szCs w:val="24"/>
        </w:rPr>
        <w:t>JUSTIÇA E REDAÇÃO E DA COMISSÃO DE FINANÇAS E ORÇAMENTO</w:t>
      </w:r>
      <w:r w:rsidRPr="00FE32E2">
        <w:rPr>
          <w:b/>
          <w:color w:val="000000"/>
          <w:sz w:val="24"/>
          <w:szCs w:val="24"/>
        </w:rPr>
        <w:t>.</w:t>
      </w:r>
    </w:p>
    <w:p w:rsidR="00473ECC" w:rsidP="00473ECC">
      <w:pPr>
        <w:pStyle w:val="BodyTex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01185E">
        <w:rPr>
          <w:color w:val="000000"/>
          <w:sz w:val="24"/>
          <w:szCs w:val="24"/>
        </w:rPr>
        <w:t xml:space="preserve">  </w:t>
      </w:r>
      <w:r w:rsidR="00F91A4F">
        <w:rPr>
          <w:color w:val="000000"/>
          <w:sz w:val="24"/>
          <w:szCs w:val="24"/>
        </w:rPr>
        <w:t>Em conformidade com os artigos 35, 37, 45 e 54, incisos I, II, alíneas “a” e “b”, III e IV, da Resolução nº 276, de 9 de novembros de 2010, as Comissões de Justiça e Redação e de Finanças e Orçamento</w:t>
      </w:r>
      <w:r w:rsidRPr="001D04F3">
        <w:rPr>
          <w:sz w:val="24"/>
          <w:szCs w:val="24"/>
        </w:rPr>
        <w:t>, acompanha</w:t>
      </w:r>
      <w:r w:rsidR="00F91A4F">
        <w:rPr>
          <w:sz w:val="24"/>
          <w:szCs w:val="24"/>
        </w:rPr>
        <w:t xml:space="preserve">ndo integralmente o parecer do </w:t>
      </w:r>
      <w:r w:rsidRPr="001D04F3">
        <w:rPr>
          <w:sz w:val="24"/>
          <w:szCs w:val="24"/>
        </w:rPr>
        <w:t>Relator, Vereador Sargento Coran, manifesta</w:t>
      </w:r>
      <w:r w:rsidR="00F91A4F">
        <w:rPr>
          <w:sz w:val="24"/>
          <w:szCs w:val="24"/>
        </w:rPr>
        <w:t xml:space="preserve">m-se </w:t>
      </w:r>
      <w:r w:rsidRPr="001D04F3">
        <w:rPr>
          <w:sz w:val="24"/>
          <w:szCs w:val="24"/>
        </w:rPr>
        <w:t>FAVORAVELMENTE à aprovação do Projeto de Lei nº 6</w:t>
      </w:r>
      <w:r w:rsidR="00F91A4F">
        <w:rPr>
          <w:sz w:val="24"/>
          <w:szCs w:val="24"/>
        </w:rPr>
        <w:t>3</w:t>
      </w:r>
      <w:r w:rsidRPr="001D04F3">
        <w:rPr>
          <w:sz w:val="24"/>
          <w:szCs w:val="24"/>
        </w:rPr>
        <w:t>/2026, recomendando seu regular prosseguimento e submissão ao Plenário para deliberação fin</w:t>
      </w:r>
      <w:bookmarkStart w:id="0" w:name="_GoBack"/>
      <w:bookmarkEnd w:id="0"/>
      <w:r w:rsidRPr="001D04F3">
        <w:rPr>
          <w:sz w:val="24"/>
          <w:szCs w:val="24"/>
        </w:rPr>
        <w:t>al.</w:t>
      </w:r>
    </w:p>
    <w:p w:rsidR="0087449A" w:rsidRPr="001D04F3" w:rsidP="00473ECC">
      <w:pPr>
        <w:pStyle w:val="BodyText"/>
        <w:rPr>
          <w:sz w:val="24"/>
          <w:szCs w:val="24"/>
        </w:rPr>
      </w:pPr>
    </w:p>
    <w:p w:rsidR="00FE32E2" w:rsidP="00473ECC">
      <w:pPr>
        <w:spacing w:before="100" w:beforeAutospacing="1" w:after="100" w:afterAutospacing="1"/>
        <w:ind w:firstLine="708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Sala das Comissões, em </w:t>
      </w:r>
      <w:r w:rsidR="0001185E">
        <w:rPr>
          <w:color w:val="000000"/>
          <w:sz w:val="24"/>
          <w:szCs w:val="24"/>
          <w:shd w:val="clear" w:color="auto" w:fill="FFFFFF"/>
        </w:rPr>
        <w:t>2</w:t>
      </w:r>
      <w:r w:rsidR="00F91A4F">
        <w:rPr>
          <w:color w:val="000000"/>
          <w:sz w:val="24"/>
          <w:szCs w:val="24"/>
          <w:shd w:val="clear" w:color="auto" w:fill="FFFFFF"/>
        </w:rPr>
        <w:t>3</w:t>
      </w:r>
      <w:r w:rsidR="0001185E">
        <w:rPr>
          <w:color w:val="000000"/>
          <w:sz w:val="24"/>
          <w:szCs w:val="24"/>
          <w:shd w:val="clear" w:color="auto" w:fill="FFFFFF"/>
        </w:rPr>
        <w:t xml:space="preserve"> de </w:t>
      </w:r>
      <w:r w:rsidR="00CF0D4C">
        <w:rPr>
          <w:color w:val="000000"/>
          <w:sz w:val="24"/>
          <w:szCs w:val="24"/>
          <w:shd w:val="clear" w:color="auto" w:fill="FFFFFF"/>
        </w:rPr>
        <w:t>junho</w:t>
      </w:r>
      <w:r w:rsidRPr="00FE32E2">
        <w:rPr>
          <w:color w:val="000000"/>
          <w:sz w:val="24"/>
          <w:szCs w:val="24"/>
          <w:shd w:val="clear" w:color="auto" w:fill="FFFFFF"/>
        </w:rPr>
        <w:t xml:space="preserve"> de 202</w:t>
      </w:r>
      <w:r w:rsidR="00CF0D4C">
        <w:rPr>
          <w:color w:val="000000"/>
          <w:sz w:val="24"/>
          <w:szCs w:val="24"/>
          <w:shd w:val="clear" w:color="auto" w:fill="FFFFFF"/>
        </w:rPr>
        <w:t>6</w:t>
      </w:r>
      <w:r w:rsidRPr="00FE32E2">
        <w:rPr>
          <w:color w:val="000000"/>
          <w:sz w:val="24"/>
          <w:szCs w:val="24"/>
          <w:shd w:val="clear" w:color="auto" w:fill="FFFFFF"/>
        </w:rPr>
        <w:t>.</w:t>
      </w:r>
    </w:p>
    <w:p w:rsidR="0087449A" w:rsidRPr="00FE32E2" w:rsidP="00473ECC">
      <w:pPr>
        <w:spacing w:before="100" w:beforeAutospacing="1" w:after="100" w:afterAutospacing="1"/>
        <w:ind w:firstLine="708"/>
        <w:rPr>
          <w:color w:val="000000"/>
          <w:sz w:val="24"/>
          <w:szCs w:val="24"/>
          <w:shd w:val="clear" w:color="auto" w:fill="FFFFFF"/>
        </w:rPr>
      </w:pPr>
    </w:p>
    <w:p w:rsidR="00FE32E2" w:rsidP="00FE32E2">
      <w:pPr>
        <w:pStyle w:val="BodyText"/>
        <w:spacing w:line="240" w:lineRule="auto"/>
        <w:rPr>
          <w:sz w:val="24"/>
          <w:szCs w:val="24"/>
        </w:rPr>
      </w:pPr>
      <w:r w:rsidRPr="00FE32E2">
        <w:rPr>
          <w:sz w:val="24"/>
          <w:szCs w:val="24"/>
        </w:rPr>
        <w:br/>
      </w:r>
    </w:p>
    <w:p w:rsidR="0001185E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 w:rsidRPr="00D407D8">
        <w:rPr>
          <w:b/>
          <w:bCs/>
          <w:sz w:val="24"/>
          <w:szCs w:val="24"/>
          <w:u w:val="single"/>
        </w:rPr>
        <w:t>COMISSÃO DE JUSTIÇA E REDAÇÃO</w:t>
      </w:r>
    </w:p>
    <w:p w:rsidR="0087449A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</w:p>
    <w:p w:rsidR="008219F5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</w:p>
    <w:p w:rsidR="00D407D8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</w:p>
    <w:p w:rsidR="00D407D8" w:rsidRPr="0001185E" w:rsidP="008219F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8219F5">
        <w:rPr>
          <w:i/>
          <w:iCs/>
          <w:sz w:val="18"/>
          <w:szCs w:val="18"/>
        </w:rPr>
        <w:t>(Documento assinado digitalmente)</w:t>
      </w:r>
    </w:p>
    <w:p w:rsidR="0001185E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1185E">
        <w:rPr>
          <w:b/>
          <w:bCs/>
          <w:sz w:val="24"/>
          <w:szCs w:val="24"/>
        </w:rPr>
        <w:t>VEREADOR WAGNER RICARDO PEREIRA</w:t>
      </w:r>
    </w:p>
    <w:p w:rsidR="0087449A" w:rsidRPr="0001185E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407D8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1185E">
        <w:rPr>
          <w:b/>
          <w:bCs/>
          <w:sz w:val="24"/>
          <w:szCs w:val="24"/>
        </w:rPr>
        <w:t>Presidente</w:t>
      </w:r>
    </w:p>
    <w:p w:rsidR="00356F16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407D8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407D8" w:rsidRPr="0001185E" w:rsidP="008219F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8219F5">
        <w:rPr>
          <w:i/>
          <w:iCs/>
          <w:sz w:val="18"/>
          <w:szCs w:val="18"/>
        </w:rPr>
        <w:t>(Documento assinado digitalmente)</w:t>
      </w:r>
    </w:p>
    <w:p w:rsidR="00765BBE" w:rsidP="00765B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1185E">
        <w:rPr>
          <w:b/>
          <w:bCs/>
          <w:sz w:val="24"/>
          <w:szCs w:val="24"/>
        </w:rPr>
        <w:t xml:space="preserve">VEREADOR </w:t>
      </w:r>
      <w:r w:rsidR="00CF0D4C">
        <w:rPr>
          <w:b/>
          <w:bCs/>
          <w:sz w:val="24"/>
          <w:szCs w:val="24"/>
        </w:rPr>
        <w:t>WILIANS MENDES DE OLIVEIRA</w:t>
      </w:r>
    </w:p>
    <w:p w:rsidR="0087449A" w:rsidRPr="0001185E" w:rsidP="00765B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219F5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1185E">
        <w:rPr>
          <w:b/>
          <w:bCs/>
          <w:sz w:val="24"/>
          <w:szCs w:val="24"/>
        </w:rPr>
        <w:t>Vice-Presidente</w:t>
      </w:r>
    </w:p>
    <w:p w:rsidR="00356F16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407D8" w:rsidP="0001185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407D8" w:rsidP="008219F5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8"/>
          <w:szCs w:val="18"/>
        </w:rPr>
      </w:pPr>
      <w:r w:rsidRPr="008219F5">
        <w:rPr>
          <w:i/>
          <w:iCs/>
          <w:sz w:val="18"/>
          <w:szCs w:val="18"/>
        </w:rPr>
        <w:t>(Documento assinado digitalmente)</w:t>
      </w:r>
    </w:p>
    <w:p w:rsidR="00765BBE" w:rsidP="008219F5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8"/>
          <w:szCs w:val="18"/>
        </w:rPr>
      </w:pPr>
    </w:p>
    <w:p w:rsidR="00765BBE" w:rsidP="00765BBE">
      <w:pPr>
        <w:spacing w:line="276" w:lineRule="auto"/>
        <w:jc w:val="center"/>
        <w:rPr>
          <w:b/>
          <w:sz w:val="24"/>
          <w:szCs w:val="24"/>
        </w:rPr>
      </w:pPr>
      <w:r w:rsidRPr="00D407D8">
        <w:rPr>
          <w:b/>
          <w:sz w:val="24"/>
          <w:szCs w:val="24"/>
        </w:rPr>
        <w:t xml:space="preserve">Vereador </w:t>
      </w:r>
      <w:r w:rsidR="00CF0D4C">
        <w:rPr>
          <w:b/>
          <w:sz w:val="24"/>
          <w:szCs w:val="24"/>
        </w:rPr>
        <w:t>MARCIO EVANDRO RIBEIRO</w:t>
      </w:r>
      <w:r w:rsidRPr="00D407D8">
        <w:rPr>
          <w:b/>
          <w:sz w:val="24"/>
          <w:szCs w:val="24"/>
        </w:rPr>
        <w:t xml:space="preserve"> </w:t>
      </w:r>
    </w:p>
    <w:p w:rsidR="0087449A" w:rsidRPr="00D407D8" w:rsidP="00765BBE">
      <w:pPr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01185E" w:rsidRPr="0001185E" w:rsidP="0001185E">
      <w:pPr>
        <w:pStyle w:val="BodyText"/>
        <w:spacing w:line="240" w:lineRule="auto"/>
        <w:jc w:val="center"/>
        <w:rPr>
          <w:sz w:val="24"/>
          <w:szCs w:val="24"/>
        </w:rPr>
      </w:pPr>
      <w:r w:rsidRPr="0001185E">
        <w:rPr>
          <w:b/>
          <w:bCs/>
          <w:sz w:val="24"/>
          <w:szCs w:val="24"/>
        </w:rPr>
        <w:t>Membro</w:t>
      </w:r>
    </w:p>
    <w:p w:rsidR="0001185E" w:rsidP="00FE32E2">
      <w:pPr>
        <w:pStyle w:val="BodyText"/>
        <w:spacing w:line="240" w:lineRule="auto"/>
        <w:rPr>
          <w:sz w:val="24"/>
          <w:szCs w:val="24"/>
        </w:rPr>
      </w:pPr>
    </w:p>
    <w:p w:rsidR="0087449A" w:rsidP="00FE32E2">
      <w:pPr>
        <w:pStyle w:val="BodyText"/>
        <w:spacing w:line="240" w:lineRule="auto"/>
        <w:rPr>
          <w:sz w:val="24"/>
          <w:szCs w:val="24"/>
        </w:rPr>
      </w:pPr>
    </w:p>
    <w:p w:rsidR="0087449A" w:rsidP="00FE32E2">
      <w:pPr>
        <w:pStyle w:val="BodyText"/>
        <w:spacing w:line="240" w:lineRule="auto"/>
        <w:rPr>
          <w:sz w:val="24"/>
          <w:szCs w:val="24"/>
        </w:rPr>
      </w:pPr>
    </w:p>
    <w:p w:rsidR="0087449A" w:rsidP="00FE32E2">
      <w:pPr>
        <w:pStyle w:val="BodyText"/>
        <w:spacing w:line="240" w:lineRule="auto"/>
        <w:rPr>
          <w:sz w:val="24"/>
          <w:szCs w:val="24"/>
        </w:rPr>
      </w:pPr>
    </w:p>
    <w:p w:rsidR="0087449A" w:rsidP="00FE32E2">
      <w:pPr>
        <w:pStyle w:val="BodyText"/>
        <w:spacing w:line="240" w:lineRule="auto"/>
        <w:rPr>
          <w:sz w:val="24"/>
          <w:szCs w:val="24"/>
        </w:rPr>
      </w:pPr>
    </w:p>
    <w:p w:rsidR="0087449A" w:rsidP="00FE32E2">
      <w:pPr>
        <w:pStyle w:val="BodyText"/>
        <w:spacing w:line="240" w:lineRule="auto"/>
        <w:rPr>
          <w:sz w:val="24"/>
          <w:szCs w:val="24"/>
        </w:rPr>
      </w:pPr>
    </w:p>
    <w:p w:rsidR="0087449A" w:rsidRPr="00FE32E2" w:rsidP="00FE32E2">
      <w:pPr>
        <w:pStyle w:val="BodyText"/>
        <w:spacing w:line="240" w:lineRule="auto"/>
        <w:rPr>
          <w:sz w:val="24"/>
          <w:szCs w:val="24"/>
        </w:rPr>
      </w:pPr>
    </w:p>
    <w:p w:rsidR="00356F16" w:rsidP="00FE32E2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E32E2" w:rsidP="00FE32E2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87449A" w:rsidP="00FE32E2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8219F5" w:rsidRPr="00FE32E2" w:rsidP="00FE32E2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E32E2" w:rsidRPr="00FE32E2" w:rsidP="008219F5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8219F5">
        <w:rPr>
          <w:i/>
          <w:iCs/>
          <w:sz w:val="18"/>
          <w:szCs w:val="18"/>
        </w:rPr>
        <w:t>(Documento assinado digitalmente)</w:t>
      </w:r>
    </w:p>
    <w:p w:rsid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87449A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8219F5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 xml:space="preserve">Presidente </w:t>
      </w:r>
    </w:p>
    <w:p w:rsidR="00356F16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D407D8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E32E2" w:rsidRPr="00FE32E2" w:rsidP="008219F5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8219F5">
        <w:rPr>
          <w:i/>
          <w:iCs/>
          <w:sz w:val="18"/>
          <w:szCs w:val="18"/>
        </w:rPr>
        <w:t>(Documento assinado digitalmente)</w:t>
      </w:r>
    </w:p>
    <w:p w:rsid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87449A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D3880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  <w:r w:rsidR="001C2EF1">
        <w:rPr>
          <w:b/>
          <w:bCs/>
          <w:color w:val="000000"/>
          <w:sz w:val="24"/>
          <w:szCs w:val="24"/>
          <w:shd w:val="clear" w:color="auto" w:fill="FFFFFF"/>
        </w:rPr>
        <w:t>/Relator</w:t>
      </w:r>
    </w:p>
    <w:p w:rsidR="00356F16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D407D8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E32E2" w:rsidRPr="00FE32E2" w:rsidP="00AD3880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8219F5">
        <w:rPr>
          <w:i/>
          <w:iCs/>
          <w:sz w:val="18"/>
          <w:szCs w:val="18"/>
        </w:rPr>
        <w:t>(Documento assinado digitalmente)</w:t>
      </w:r>
    </w:p>
    <w:p w:rsid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87449A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830A06" w:rsidP="00850C1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01185E" w:rsidP="00850C1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D3880" w:rsidP="00850C1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D3880" w:rsidP="00850C1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01185E" w:rsidP="00D407D8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D407D8" w:rsidP="00D407D8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01185E" w:rsidRPr="00830A06" w:rsidP="00850C12">
      <w:pPr>
        <w:jc w:val="center"/>
        <w:rPr>
          <w:szCs w:val="24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826465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15F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8615FD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A991"/>
    <w:multiLevelType w:val="multilevel"/>
    <w:tmpl w:val="20DC200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A99721"/>
    <w:multiLevelType w:val="multilevel"/>
    <w:tmpl w:val="12A244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abstractNum w:abstractNumId="2">
    <w:nsid w:val="07156197"/>
    <w:multiLevelType w:val="hybridMultilevel"/>
    <w:tmpl w:val="D75C7D2E"/>
    <w:lvl w:ilvl="0">
      <w:start w:val="1"/>
      <w:numFmt w:val="lowerLetter"/>
      <w:lvlText w:val="%1)"/>
      <w:lvlJc w:val="left"/>
      <w:pPr>
        <w:ind w:left="4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>
    <w:nsid w:val="19685C1D"/>
    <w:multiLevelType w:val="hybridMultilevel"/>
    <w:tmpl w:val="0128CF8E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>
    <w:nsid w:val="23F92D8F"/>
    <w:multiLevelType w:val="hybridMultilevel"/>
    <w:tmpl w:val="F91688C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86CD0"/>
    <w:multiLevelType w:val="multilevel"/>
    <w:tmpl w:val="89FE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394832"/>
    <w:multiLevelType w:val="multilevel"/>
    <w:tmpl w:val="D712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3A3F43"/>
    <w:multiLevelType w:val="hybridMultilevel"/>
    <w:tmpl w:val="3ADEBE04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36784"/>
    <w:multiLevelType w:val="multilevel"/>
    <w:tmpl w:val="FAB6E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2351D4"/>
    <w:multiLevelType w:val="multilevel"/>
    <w:tmpl w:val="EAB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2E736A"/>
    <w:multiLevelType w:val="hybridMultilevel"/>
    <w:tmpl w:val="0C7E7868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◦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◦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46F27E42"/>
    <w:multiLevelType w:val="multilevel"/>
    <w:tmpl w:val="21CAA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334824"/>
    <w:multiLevelType w:val="multilevel"/>
    <w:tmpl w:val="97AC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9E7747"/>
    <w:multiLevelType w:val="hybridMultilevel"/>
    <w:tmpl w:val="7C925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2490C"/>
    <w:multiLevelType w:val="hybridMultilevel"/>
    <w:tmpl w:val="5350AC94"/>
    <w:lvl w:ilvl="0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76" w:hanging="360"/>
      </w:pPr>
    </w:lvl>
    <w:lvl w:ilvl="2" w:tentative="1">
      <w:start w:val="1"/>
      <w:numFmt w:val="lowerRoman"/>
      <w:lvlText w:val="%3."/>
      <w:lvlJc w:val="right"/>
      <w:pPr>
        <w:ind w:left="3096" w:hanging="180"/>
      </w:pPr>
    </w:lvl>
    <w:lvl w:ilvl="3" w:tentative="1">
      <w:start w:val="1"/>
      <w:numFmt w:val="decimal"/>
      <w:lvlText w:val="%4."/>
      <w:lvlJc w:val="left"/>
      <w:pPr>
        <w:ind w:left="3816" w:hanging="360"/>
      </w:pPr>
    </w:lvl>
    <w:lvl w:ilvl="4" w:tentative="1">
      <w:start w:val="1"/>
      <w:numFmt w:val="lowerLetter"/>
      <w:lvlText w:val="%5."/>
      <w:lvlJc w:val="left"/>
      <w:pPr>
        <w:ind w:left="4536" w:hanging="360"/>
      </w:pPr>
    </w:lvl>
    <w:lvl w:ilvl="5" w:tentative="1">
      <w:start w:val="1"/>
      <w:numFmt w:val="lowerRoman"/>
      <w:lvlText w:val="%6."/>
      <w:lvlJc w:val="right"/>
      <w:pPr>
        <w:ind w:left="5256" w:hanging="180"/>
      </w:pPr>
    </w:lvl>
    <w:lvl w:ilvl="6" w:tentative="1">
      <w:start w:val="1"/>
      <w:numFmt w:val="decimal"/>
      <w:lvlText w:val="%7."/>
      <w:lvlJc w:val="left"/>
      <w:pPr>
        <w:ind w:left="5976" w:hanging="360"/>
      </w:pPr>
    </w:lvl>
    <w:lvl w:ilvl="7" w:tentative="1">
      <w:start w:val="1"/>
      <w:numFmt w:val="lowerLetter"/>
      <w:lvlText w:val="%8."/>
      <w:lvlJc w:val="left"/>
      <w:pPr>
        <w:ind w:left="6696" w:hanging="360"/>
      </w:pPr>
    </w:lvl>
    <w:lvl w:ilvl="8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>
    <w:nsid w:val="69A11A52"/>
    <w:multiLevelType w:val="hybridMultilevel"/>
    <w:tmpl w:val="1E727DE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D5BDA"/>
    <w:multiLevelType w:val="multilevel"/>
    <w:tmpl w:val="100E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891000"/>
    <w:multiLevelType w:val="hybridMultilevel"/>
    <w:tmpl w:val="7B38816A"/>
    <w:lvl w:ilvl="0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>
    <w:nsid w:val="7CF17CD5"/>
    <w:multiLevelType w:val="multilevel"/>
    <w:tmpl w:val="A1D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16"/>
  </w:num>
  <w:num w:numId="9">
    <w:abstractNumId w:val="3"/>
  </w:num>
  <w:num w:numId="10">
    <w:abstractNumId w:val="17"/>
  </w:num>
  <w:num w:numId="11">
    <w:abstractNumId w:val="18"/>
  </w:num>
  <w:num w:numId="12">
    <w:abstractNumId w:val="6"/>
  </w:num>
  <w:num w:numId="13">
    <w:abstractNumId w:val="1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</w:num>
  <w:num w:numId="16">
    <w:abstractNumId w:val="7"/>
  </w:num>
  <w:num w:numId="17">
    <w:abstractNumId w:val="4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D"/>
    <w:rsid w:val="000063AD"/>
    <w:rsid w:val="0001185E"/>
    <w:rsid w:val="000304E0"/>
    <w:rsid w:val="000508C5"/>
    <w:rsid w:val="00060219"/>
    <w:rsid w:val="00080765"/>
    <w:rsid w:val="000D6F26"/>
    <w:rsid w:val="000E414F"/>
    <w:rsid w:val="000F45EA"/>
    <w:rsid w:val="00106B62"/>
    <w:rsid w:val="001660DC"/>
    <w:rsid w:val="00184F80"/>
    <w:rsid w:val="00186843"/>
    <w:rsid w:val="0019435E"/>
    <w:rsid w:val="001B11B1"/>
    <w:rsid w:val="001B124E"/>
    <w:rsid w:val="001C2EF1"/>
    <w:rsid w:val="001D04F3"/>
    <w:rsid w:val="001F0FA9"/>
    <w:rsid w:val="001F2962"/>
    <w:rsid w:val="00206ABF"/>
    <w:rsid w:val="0021604B"/>
    <w:rsid w:val="00251C98"/>
    <w:rsid w:val="00255AB9"/>
    <w:rsid w:val="002652A1"/>
    <w:rsid w:val="00272A03"/>
    <w:rsid w:val="00281133"/>
    <w:rsid w:val="00283EC6"/>
    <w:rsid w:val="002879F0"/>
    <w:rsid w:val="002A3601"/>
    <w:rsid w:val="002B456D"/>
    <w:rsid w:val="002C0F5A"/>
    <w:rsid w:val="002C6153"/>
    <w:rsid w:val="002E5EA4"/>
    <w:rsid w:val="002E6625"/>
    <w:rsid w:val="00314B86"/>
    <w:rsid w:val="00330322"/>
    <w:rsid w:val="003361E8"/>
    <w:rsid w:val="00346CD0"/>
    <w:rsid w:val="00352E5F"/>
    <w:rsid w:val="00356F16"/>
    <w:rsid w:val="003632D3"/>
    <w:rsid w:val="00381440"/>
    <w:rsid w:val="00396BD5"/>
    <w:rsid w:val="003A3B67"/>
    <w:rsid w:val="003A5AA8"/>
    <w:rsid w:val="003D6576"/>
    <w:rsid w:val="003F4AA7"/>
    <w:rsid w:val="004168A8"/>
    <w:rsid w:val="004418DD"/>
    <w:rsid w:val="00444781"/>
    <w:rsid w:val="0045382F"/>
    <w:rsid w:val="004555E9"/>
    <w:rsid w:val="00456054"/>
    <w:rsid w:val="00463CBE"/>
    <w:rsid w:val="00466A2B"/>
    <w:rsid w:val="00473ECC"/>
    <w:rsid w:val="004A22B1"/>
    <w:rsid w:val="004A46DA"/>
    <w:rsid w:val="004D0A1B"/>
    <w:rsid w:val="004E1CCB"/>
    <w:rsid w:val="004E7D5A"/>
    <w:rsid w:val="00501A6B"/>
    <w:rsid w:val="0051315C"/>
    <w:rsid w:val="0051346D"/>
    <w:rsid w:val="005163AB"/>
    <w:rsid w:val="00516DD1"/>
    <w:rsid w:val="0056346E"/>
    <w:rsid w:val="00564A42"/>
    <w:rsid w:val="005C3BD3"/>
    <w:rsid w:val="005D2B9A"/>
    <w:rsid w:val="005E5487"/>
    <w:rsid w:val="005E5A01"/>
    <w:rsid w:val="005F5525"/>
    <w:rsid w:val="00601F12"/>
    <w:rsid w:val="00602F85"/>
    <w:rsid w:val="00614281"/>
    <w:rsid w:val="006170D8"/>
    <w:rsid w:val="006177BD"/>
    <w:rsid w:val="006179A4"/>
    <w:rsid w:val="00622EE2"/>
    <w:rsid w:val="006457C5"/>
    <w:rsid w:val="00645F20"/>
    <w:rsid w:val="00660E82"/>
    <w:rsid w:val="006B30C7"/>
    <w:rsid w:val="006B48A7"/>
    <w:rsid w:val="006F0330"/>
    <w:rsid w:val="007058BC"/>
    <w:rsid w:val="007103D5"/>
    <w:rsid w:val="00710C84"/>
    <w:rsid w:val="00716F9B"/>
    <w:rsid w:val="0072400E"/>
    <w:rsid w:val="00724D3B"/>
    <w:rsid w:val="00765BBE"/>
    <w:rsid w:val="00766A52"/>
    <w:rsid w:val="0078183D"/>
    <w:rsid w:val="007841A8"/>
    <w:rsid w:val="007929B9"/>
    <w:rsid w:val="007974F1"/>
    <w:rsid w:val="007C51DE"/>
    <w:rsid w:val="007E2939"/>
    <w:rsid w:val="007E7EA1"/>
    <w:rsid w:val="007F7806"/>
    <w:rsid w:val="008053EA"/>
    <w:rsid w:val="008115AB"/>
    <w:rsid w:val="00813BB4"/>
    <w:rsid w:val="008219F5"/>
    <w:rsid w:val="0082424A"/>
    <w:rsid w:val="00830A06"/>
    <w:rsid w:val="00850C12"/>
    <w:rsid w:val="00850C9B"/>
    <w:rsid w:val="0085374D"/>
    <w:rsid w:val="008615FD"/>
    <w:rsid w:val="00866A1A"/>
    <w:rsid w:val="0087449A"/>
    <w:rsid w:val="008A5A74"/>
    <w:rsid w:val="008B0EA4"/>
    <w:rsid w:val="008C6540"/>
    <w:rsid w:val="008F734D"/>
    <w:rsid w:val="009053CC"/>
    <w:rsid w:val="00922054"/>
    <w:rsid w:val="00956844"/>
    <w:rsid w:val="00957F2C"/>
    <w:rsid w:val="00976458"/>
    <w:rsid w:val="0098178C"/>
    <w:rsid w:val="00982904"/>
    <w:rsid w:val="009878D9"/>
    <w:rsid w:val="009A1FFA"/>
    <w:rsid w:val="009A4720"/>
    <w:rsid w:val="009D1630"/>
    <w:rsid w:val="009E292A"/>
    <w:rsid w:val="009F7754"/>
    <w:rsid w:val="009F7E99"/>
    <w:rsid w:val="00A05BAC"/>
    <w:rsid w:val="00A14033"/>
    <w:rsid w:val="00A2646B"/>
    <w:rsid w:val="00A3081B"/>
    <w:rsid w:val="00A45E06"/>
    <w:rsid w:val="00A541DD"/>
    <w:rsid w:val="00A661F9"/>
    <w:rsid w:val="00A73786"/>
    <w:rsid w:val="00A77BB5"/>
    <w:rsid w:val="00A8293C"/>
    <w:rsid w:val="00AC41C2"/>
    <w:rsid w:val="00AD3880"/>
    <w:rsid w:val="00AD66FD"/>
    <w:rsid w:val="00B026BE"/>
    <w:rsid w:val="00B1395A"/>
    <w:rsid w:val="00B26FA3"/>
    <w:rsid w:val="00B341D3"/>
    <w:rsid w:val="00B37CE9"/>
    <w:rsid w:val="00B956A8"/>
    <w:rsid w:val="00BA45DE"/>
    <w:rsid w:val="00BA5959"/>
    <w:rsid w:val="00BB4B19"/>
    <w:rsid w:val="00BC5ED3"/>
    <w:rsid w:val="00BE288F"/>
    <w:rsid w:val="00BF1E5C"/>
    <w:rsid w:val="00BF3131"/>
    <w:rsid w:val="00C02554"/>
    <w:rsid w:val="00C3139A"/>
    <w:rsid w:val="00C34A3D"/>
    <w:rsid w:val="00C41CD9"/>
    <w:rsid w:val="00C75697"/>
    <w:rsid w:val="00CF06D1"/>
    <w:rsid w:val="00CF0D4C"/>
    <w:rsid w:val="00CF0FBF"/>
    <w:rsid w:val="00D150EF"/>
    <w:rsid w:val="00D16CDC"/>
    <w:rsid w:val="00D2557E"/>
    <w:rsid w:val="00D3542F"/>
    <w:rsid w:val="00D407D8"/>
    <w:rsid w:val="00D73B1A"/>
    <w:rsid w:val="00D77F3C"/>
    <w:rsid w:val="00D87740"/>
    <w:rsid w:val="00D95FAE"/>
    <w:rsid w:val="00DA1E4A"/>
    <w:rsid w:val="00DB6F99"/>
    <w:rsid w:val="00DC5048"/>
    <w:rsid w:val="00DC5CF2"/>
    <w:rsid w:val="00DE0F3B"/>
    <w:rsid w:val="00E01CAC"/>
    <w:rsid w:val="00E2537D"/>
    <w:rsid w:val="00E41D0D"/>
    <w:rsid w:val="00E5668D"/>
    <w:rsid w:val="00E6771A"/>
    <w:rsid w:val="00E80FEE"/>
    <w:rsid w:val="00E851C4"/>
    <w:rsid w:val="00E87E6A"/>
    <w:rsid w:val="00EC3DC0"/>
    <w:rsid w:val="00EC4D65"/>
    <w:rsid w:val="00EC5039"/>
    <w:rsid w:val="00EC54AD"/>
    <w:rsid w:val="00EC595C"/>
    <w:rsid w:val="00F12488"/>
    <w:rsid w:val="00F202AB"/>
    <w:rsid w:val="00F4149B"/>
    <w:rsid w:val="00F53FFD"/>
    <w:rsid w:val="00F90C5D"/>
    <w:rsid w:val="00F91A4F"/>
    <w:rsid w:val="00FD0E69"/>
    <w:rsid w:val="00FD1968"/>
    <w:rsid w:val="00FE32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017956-791F-4C90-BAD5-3A6F2CC2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styleId="Strong">
    <w:name w:val="Strong"/>
    <w:basedOn w:val="DefaultParagraphFont"/>
    <w:uiPriority w:val="22"/>
    <w:qFormat/>
    <w:rsid w:val="00766A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3CBE"/>
    <w:rPr>
      <w:color w:val="0000FF"/>
      <w:u w:val="single"/>
    </w:rPr>
  </w:style>
  <w:style w:type="paragraph" w:customStyle="1" w:styleId="FirstParagraph">
    <w:name w:val="First Paragraph"/>
    <w:basedOn w:val="BodyText"/>
    <w:next w:val="BodyText"/>
    <w:qFormat/>
    <w:rsid w:val="00473ECC"/>
    <w:pPr>
      <w:spacing w:before="180" w:after="180" w:line="240" w:lineRule="auto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473ECC"/>
    <w:pPr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Space">
    <w:name w:val="MdSpace"/>
    <w:qFormat/>
    <w:rsid w:val="009A4720"/>
    <w:pPr>
      <w:jc w:val="left"/>
    </w:pPr>
    <w:rPr>
      <w:sz w:val="12"/>
      <w:szCs w:val="12"/>
    </w:rPr>
  </w:style>
  <w:style w:type="paragraph" w:customStyle="1" w:styleId="MdParagraph">
    <w:name w:val="MdParagraph"/>
    <w:qFormat/>
    <w:rsid w:val="009A4720"/>
    <w:pPr>
      <w:spacing w:before="120" w:after="120"/>
      <w:jc w:val="left"/>
    </w:pPr>
    <w:rPr>
      <w:sz w:val="24"/>
      <w:szCs w:val="24"/>
    </w:rPr>
  </w:style>
  <w:style w:type="paragraph" w:customStyle="1" w:styleId="MdListItem">
    <w:name w:val="MdListItem"/>
    <w:qFormat/>
    <w:rsid w:val="00251C98"/>
    <w:pPr>
      <w:spacing w:before="60" w:after="60"/>
      <w:ind w:left="720" w:hanging="360"/>
      <w:jc w:val="left"/>
    </w:pPr>
    <w:rPr>
      <w:sz w:val="24"/>
      <w:szCs w:val="24"/>
    </w:rPr>
  </w:style>
  <w:style w:type="character" w:customStyle="1" w:styleId="MdStrong">
    <w:name w:val="MdStrong"/>
    <w:uiPriority w:val="99"/>
    <w:unhideWhenUsed/>
    <w:qFormat/>
    <w:rsid w:val="00251C98"/>
    <w:rPr>
      <w:b/>
      <w:bCs/>
    </w:rPr>
  </w:style>
  <w:style w:type="paragraph" w:customStyle="1" w:styleId="Compact">
    <w:name w:val="Compact"/>
    <w:basedOn w:val="BodyText"/>
    <w:qFormat/>
    <w:rsid w:val="009F7754"/>
    <w:pPr>
      <w:spacing w:before="36" w:after="36" w:line="240" w:lineRule="auto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E1B48-0745-4755-B534-CEAF3230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1730</Words>
  <Characters>9346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2023-09-06T14:30:00Z</cp:lastPrinted>
  <dcterms:created xsi:type="dcterms:W3CDTF">2026-06-24T13:07:00Z</dcterms:created>
  <dcterms:modified xsi:type="dcterms:W3CDTF">2026-06-24T13:54:00Z</dcterms:modified>
  <dc:language>pt-BR</dc:language>
</cp:coreProperties>
</file>