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507F11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507F11">
        <w:rPr>
          <w:rFonts w:ascii="Courier New" w:hAnsi="Courier New" w:cs="Courier New"/>
          <w:b/>
          <w:bCs/>
          <w:kern w:val="3"/>
          <w:sz w:val="28"/>
          <w:szCs w:val="28"/>
        </w:rPr>
        <w:t>Moção Nº 196/2026</w:t>
      </w:r>
      <w:r w:rsidRPr="00507F11">
        <w:rPr>
          <w:rFonts w:ascii="Courier New" w:hAnsi="Courier New" w:cs="Courier New"/>
          <w:b/>
          <w:bCs/>
          <w:kern w:val="3"/>
          <w:sz w:val="28"/>
          <w:szCs w:val="28"/>
        </w:rPr>
        <w:t>Moção Nº 196/2026</w:t>
      </w:r>
    </w:p>
    <w:p w:rsidR="007E3DC3" w:rsidRPr="00507F11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507F11" w:rsidP="009B5BE4" w14:paraId="5A5B76DB" w14:textId="017ECF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507F11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507F11" w:rsidR="000C2886">
        <w:rPr>
          <w:rFonts w:ascii="Courier New" w:hAnsi="Courier New" w:cs="Courier New"/>
          <w:b/>
          <w:kern w:val="3"/>
          <w:sz w:val="24"/>
          <w:szCs w:val="24"/>
        </w:rPr>
        <w:t xml:space="preserve">MOÇÃO DE APOIO E SOLIDARIEDADE AO </w:t>
      </w:r>
      <w:r w:rsidRPr="00507F11" w:rsidR="00631E7C">
        <w:rPr>
          <w:rFonts w:ascii="Courier New" w:hAnsi="Courier New" w:cs="Courier New"/>
          <w:b/>
          <w:kern w:val="3"/>
          <w:sz w:val="24"/>
          <w:szCs w:val="24"/>
        </w:rPr>
        <w:t xml:space="preserve">MOVIMENTO NEGRO E AO COLETIVO NEGRO DE MOGI MIRIM, EM FACE DA DEFESA PERMANENTE DA IGUALDADE RACIAL, DO COMBATE AO RACISMO ESTRUTURAL E EM RECONHECIMENTO À SUA HISTÓRICA RESISTÊNCIA CONTRA RETROCESSOS SOCIAIS E ATOS DE VIOLÊNCIA SIMBÓLICA E </w:t>
      </w:r>
      <w:r w:rsidRPr="00507F11" w:rsidR="00631E7C">
        <w:rPr>
          <w:rFonts w:ascii="Courier New" w:eastAsia="Courier New" w:hAnsi="Courier New"/>
          <w:b/>
          <w:sz w:val="24"/>
        </w:rPr>
        <w:t>EM REPÚDIO A OFENSAS, TENTATIVAS DE INTIMIDAÇÃO, REVITIMIZAÇÃO E A QUALQUER RETROCESSO SOCIAL NA LUTA ANTIRRACISTA</w:t>
      </w:r>
      <w:r w:rsidRPr="00507F11" w:rsidR="00631E7C">
        <w:rPr>
          <w:rFonts w:ascii="Courier New" w:hAnsi="Courier New" w:cs="Courier New"/>
          <w:b/>
          <w:kern w:val="3"/>
          <w:sz w:val="24"/>
          <w:szCs w:val="24"/>
        </w:rPr>
        <w:t>.</w:t>
      </w:r>
    </w:p>
    <w:p w:rsidR="007E3DC3" w:rsidRPr="00507F11" w:rsidP="00A63896" w14:paraId="24553D4E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507F11" w:rsidP="00A63896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507F11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507F11" w:rsidP="00A63896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507F11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507F11" w:rsidP="00A63896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631E7C" w:rsidRPr="00507F11" w:rsidP="003E7761" w14:paraId="333655C3" w14:textId="0EEAD109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Requeiro à Mesa, na forma regimental de estilo, depois de ouvido o Douto Plenário, e de acordo com o Art. 162, combinado com Art. 152 § 2º do Regimento Interno vigente, que seja registrada em ata de nossos trabalhos a presente </w:t>
      </w:r>
      <w:r w:rsidRPr="00507F11">
        <w:rPr>
          <w:rFonts w:ascii="Courier New" w:hAnsi="Courier New" w:cs="Courier New"/>
          <w:b/>
          <w:bCs/>
          <w:sz w:val="24"/>
          <w:szCs w:val="24"/>
        </w:rPr>
        <w:t>Moção de Apoio e Solidariedade ao Coletivo Negro de Mogi Mirim e a todo o Movimento Negro local</w:t>
      </w:r>
      <w:r w:rsidRPr="00507F11">
        <w:rPr>
          <w:rFonts w:ascii="Courier New" w:hAnsi="Courier New" w:cs="Courier New"/>
          <w:sz w:val="24"/>
          <w:szCs w:val="24"/>
        </w:rPr>
        <w:t>, legítimos guardiões da dignidade humana e da justiça social em nosso Município, cujas mobilizações históricas contra atos de profunda violência simbólica e contra tentativas contemporâneas de retrocesso institucional reafirmam a imperiosidade da construção de uma sociedade fraterna, plural e antirracista.</w:t>
      </w:r>
    </w:p>
    <w:p w:rsidR="00631E7C" w:rsidRPr="00507F11" w:rsidP="003E7761" w14:paraId="569618E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>A história do Coletivo Negro de Mogi Mirim e a pungente atuação dos movimentos de matriz afro-brasileira nesta edilidade constituem um patrimônio imaterial indissociável da busca pela igualdade substancial. Recorde-se que a própria gênese de sua organização decorreu de intoleráveis episódios de menoscabo e aviltamento à dignidade étnica, perpetrados sob o manto de falsas narrativas artísticas ou de manifestações de pensamento manifestamente abusivas, as quais tentaram reduzir o sofrimento histórico e a ancestralidade a símbolos depreciativos e descartáveis.</w:t>
      </w:r>
    </w:p>
    <w:p w:rsidR="00631E7C" w:rsidRPr="00507F11" w:rsidP="003E7761" w14:paraId="43BB073F" w14:textId="5E073C03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>Diante de tais agressões à identidade coletiva, a firmeza e o protagonismo dessas lideranças converteram a dor e a indignação em um marco permanente de conscientização, educação antirracista e promoção de direitos fundamentais.</w:t>
      </w:r>
    </w:p>
    <w:p w:rsidR="00631E7C" w:rsidRPr="00507F11" w:rsidP="003E7761" w14:paraId="2646A9C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>É preciso assentar com absoluta veemência que nenhuma discussão procedimental, por mais legítima que seja em sua via estritamente formal, tem o condão de apagar a dimensão humana, histórica e social dos fatos que envolvem a luta antirracista nesta municipalidade.</w:t>
      </w:r>
    </w:p>
    <w:p w:rsidR="00631E7C" w:rsidRPr="00507F11" w:rsidP="003E7761" w14:paraId="5F0EE9F9" w14:textId="59FBA71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Quando controvérsias formais são instrumentalizadas para relativizar feridas coletivas, reabrir humilhações ou apresentar a pauta racial como um inconveniente de bastidor, projeta-se sobre a sociedade um verdadeiro e inaceitável retrocesso social, malferindo o Princípio da Dignidade da Pessoa Humana (Art. 1º, III, CF/88), o Princípio da Igualdade Material (Art. 5º,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caput</w:t>
      </w:r>
      <w:r w:rsidRPr="00507F11">
        <w:rPr>
          <w:rFonts w:ascii="Courier New" w:hAnsi="Courier New" w:cs="Courier New"/>
          <w:sz w:val="24"/>
          <w:szCs w:val="24"/>
        </w:rPr>
        <w:t xml:space="preserve">, CF/88) e a eficácia plena do Art. 5º, </w:t>
      </w:r>
      <w:r w:rsidRPr="00507F11">
        <w:rPr>
          <w:rFonts w:ascii="Courier New" w:hAnsi="Courier New" w:cs="Courier New"/>
          <w:sz w:val="24"/>
          <w:szCs w:val="24"/>
        </w:rPr>
        <w:t>XLII</w:t>
      </w:r>
      <w:r w:rsidRPr="00507F11">
        <w:rPr>
          <w:rFonts w:ascii="Courier New" w:hAnsi="Courier New" w:cs="Courier New"/>
          <w:sz w:val="24"/>
          <w:szCs w:val="24"/>
        </w:rPr>
        <w:t xml:space="preserve">, da Carta Magna, que tipifica o racismo como crime inafiançável e imprescritível, ativando-se o Princípio da Vedação ao Retrocesso Social (efeito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cliquet</w:t>
      </w:r>
      <w:r w:rsidRPr="00507F11">
        <w:rPr>
          <w:rFonts w:ascii="Courier New" w:hAnsi="Courier New" w:cs="Courier New"/>
          <w:sz w:val="24"/>
          <w:szCs w:val="24"/>
        </w:rPr>
        <w:t>) como salvaguarda contra o enfraquecimento das políticas de reparação e ações afirmativas consolidadas.</w:t>
      </w:r>
    </w:p>
    <w:p w:rsidR="00631E7C" w:rsidRPr="00507F11" w:rsidP="003E7761" w14:paraId="74053E94" w14:textId="6CFBDBB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Faz-se saber que o exercício regular do direito de defesa e do contraditório jurisdicional são plenamente resguardados no Estado Democrático de Direito, todavia, o que firmemente se rechaça é o uso retórico de disputas institucionais como expediente tático para esvaziar a pauta antirracista, hostilizar minorias políticas ou criar um ambiente de medo para aqueles que denunciam as opressões estruturais, lembrando-se sempre que a palavra pública no foro político deve pautar-se pela urbanidade e pela boa-fé objetiva, pois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ubi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societas,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ibi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jus</w:t>
      </w:r>
      <w:r w:rsidRPr="00507F11">
        <w:rPr>
          <w:rFonts w:ascii="Courier New" w:hAnsi="Courier New" w:cs="Courier New"/>
          <w:sz w:val="24"/>
          <w:szCs w:val="24"/>
        </w:rPr>
        <w:t xml:space="preserve"> (onde há sociedade, há direito).</w:t>
      </w:r>
    </w:p>
    <w:p w:rsidR="00631E7C" w:rsidRPr="00507F11" w:rsidP="003E7761" w14:paraId="777C7C8F" w14:textId="231E5BE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Ademais, as tentativas veladas de desconstituição de atos punitivos legítimos que resguardaram o decoro parlamentar e a honra da população mogimiriana afrontam diretamente o Princípio da Moralidade Administrativa (Art. 37,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caput</w:t>
      </w:r>
      <w:r w:rsidRPr="00507F11">
        <w:rPr>
          <w:rFonts w:ascii="Courier New" w:hAnsi="Courier New" w:cs="Courier New"/>
          <w:sz w:val="24"/>
          <w:szCs w:val="24"/>
        </w:rPr>
        <w:t xml:space="preserve">, CF/88) e o Princípio da Boa-fé Objetiva. A insistência em subverter provimentos administrativos severos e justos por meio de expedientes técnicos e discussões processuais paralelas configura nítido ofensa aos preceitos de Ulpiano, segundo os quais a ordem jurídica se sustenta nos pilares do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honeste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vivere</w:t>
      </w:r>
      <w:r w:rsidRPr="00507F11">
        <w:rPr>
          <w:rFonts w:ascii="Courier New" w:hAnsi="Courier New" w:cs="Courier New"/>
          <w:sz w:val="24"/>
          <w:szCs w:val="24"/>
        </w:rPr>
        <w:t xml:space="preserve"> (viver honestamente) e do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alterum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non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laedere</w:t>
      </w:r>
      <w:r w:rsidRPr="00507F11">
        <w:rPr>
          <w:rFonts w:ascii="Courier New" w:hAnsi="Courier New" w:cs="Courier New"/>
          <w:sz w:val="24"/>
          <w:szCs w:val="24"/>
        </w:rPr>
        <w:t xml:space="preserve"> (não lesar a outrem), impondo-se a esta Casa o dever de agir guiada pelo postulado do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suum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cuique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tribuere</w:t>
      </w:r>
      <w:r w:rsidRPr="00507F11">
        <w:rPr>
          <w:rFonts w:ascii="Courier New" w:hAnsi="Courier New" w:cs="Courier New"/>
          <w:sz w:val="24"/>
          <w:szCs w:val="24"/>
        </w:rPr>
        <w:t xml:space="preserve"> (dar a cada um o que é seu) para assegurar o respeito integral àqueles que diariamente combatem o racismo estrutural.</w:t>
      </w:r>
    </w:p>
    <w:p w:rsidR="00631E7C" w:rsidRPr="00507F11" w:rsidP="003E7761" w14:paraId="3DF79F5B" w14:textId="3C3AD95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Recorda-se que a preservação das conquistas sociais e o irrestrito apoio às instituições civis de promoção da igualdade </w:t>
      </w:r>
      <w:r w:rsidRPr="00507F11">
        <w:rPr>
          <w:rFonts w:ascii="Courier New" w:hAnsi="Courier New" w:cs="Courier New"/>
          <w:sz w:val="24"/>
          <w:szCs w:val="24"/>
        </w:rPr>
        <w:t>racial são providências essenciais para que o Município atinja os objetivos fundamentais da República de erradicação da marginalização e redução das desigualdades sociais e regionais (Art. 3º, III, CF/88).</w:t>
      </w:r>
    </w:p>
    <w:p w:rsidR="00631E7C" w:rsidRPr="00507F11" w:rsidP="003E7761" w14:paraId="27C609C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A democracia não se resume à contagem mecânica de votos nem à frieza dos ritos, exigindo, fundamentalmente, escuta ativa, reparação histórica e moralidade administrativa (Art. 37,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caput</w:t>
      </w:r>
      <w:r w:rsidRPr="00507F11">
        <w:rPr>
          <w:rFonts w:ascii="Courier New" w:hAnsi="Courier New" w:cs="Courier New"/>
          <w:sz w:val="24"/>
          <w:szCs w:val="24"/>
        </w:rPr>
        <w:t xml:space="preserve">, CF/88). Não há prerrogativa política ou liberdade pública que autorize a humilhação ou a tentativa de desconstituir o patrimônio moral da população negra de Mogi Mirim, impondo-se à administração agir sob o império do brocardo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suum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cuique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tribuere</w:t>
      </w:r>
      <w:r w:rsidRPr="00507F11">
        <w:rPr>
          <w:rFonts w:ascii="Courier New" w:hAnsi="Courier New" w:cs="Courier New"/>
          <w:sz w:val="24"/>
          <w:szCs w:val="24"/>
        </w:rPr>
        <w:t xml:space="preserve"> (dar a cada um o que é seu) e orientada pela máxima fundamental de que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salus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populi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suprema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lex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esto</w:t>
      </w:r>
      <w:r w:rsidRPr="00507F11">
        <w:rPr>
          <w:rFonts w:ascii="Courier New" w:hAnsi="Courier New" w:cs="Courier New"/>
          <w:sz w:val="24"/>
          <w:szCs w:val="24"/>
        </w:rPr>
        <w:t xml:space="preserve"> (a saúde e o bem-estar do povo sejam a suprema lei).</w:t>
      </w:r>
    </w:p>
    <w:p w:rsidR="00631E7C" w:rsidRPr="00507F11" w:rsidP="003E7761" w14:paraId="35172BF8" w14:textId="4C85101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O silêncio institucional diante de tentativas de intimidação corresponderia a uma conivência inaceitável, razão pela qual esta Casa reafirma seu dever de avançar rumo ao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bonum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commune</w:t>
      </w:r>
      <w:r w:rsidRPr="00507F11">
        <w:rPr>
          <w:rFonts w:ascii="Courier New" w:hAnsi="Courier New" w:cs="Courier New"/>
          <w:sz w:val="24"/>
          <w:szCs w:val="24"/>
        </w:rPr>
        <w:t xml:space="preserve"> (bem comum), aplicando-se o postulado de que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fiat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justitia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ruat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caelum</w:t>
      </w:r>
      <w:r w:rsidRPr="00507F11">
        <w:rPr>
          <w:rFonts w:ascii="Courier New" w:hAnsi="Courier New" w:cs="Courier New"/>
          <w:sz w:val="24"/>
          <w:szCs w:val="24"/>
        </w:rPr>
        <w:t xml:space="preserve"> (faça-se justiça, ainda que desabe o céu) contra qualquer tentativa de retrocesso civilizatório.</w:t>
      </w:r>
    </w:p>
    <w:p w:rsidR="00631E7C" w:rsidRPr="00507F11" w:rsidP="003E7761" w14:paraId="7DC35F06" w14:textId="167D6EF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Esta Casa de Leis reitera que o restabelecimento de privilégios ou a leniência com posturas que outrora aviltaram as franjas urbanas e as comunidades negras representaria uma ruptura intolerável com o compromisso ético-democrático. A presente manifestação consolida-se como medida indispensável para restaurar a plena harmonia social, reprimir tentativas de retrocesso histórico e garantir a contínua edificação do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bonum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commune</w:t>
      </w:r>
      <w:r w:rsidRPr="00507F11">
        <w:rPr>
          <w:rFonts w:ascii="Courier New" w:hAnsi="Courier New" w:cs="Courier New"/>
          <w:sz w:val="24"/>
          <w:szCs w:val="24"/>
        </w:rPr>
        <w:t xml:space="preserve"> (bem comum).</w:t>
      </w:r>
    </w:p>
    <w:p w:rsidR="001C46B7" w:rsidRPr="00507F11" w:rsidP="001C46B7" w14:paraId="34D079A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>Que do teor desta moção seja dada imediata e integral ciência à coordenação do Coletivo Negro de Mogi Mirim, estendendo-se o envio de cópia formal para os seguintes órgãos, ministérios, conselhos e entidades, a fim de que tomem conhecimento e manifestem solidariedade institucional:</w:t>
      </w:r>
    </w:p>
    <w:p w:rsidR="001C46B7" w:rsidRPr="00507F11" w:rsidP="001C46B7" w14:paraId="5301E3E3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1C46B7" w:rsidRPr="00507F11" w:rsidP="001C46B7" w14:paraId="2D382D1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1. ÂMBITO FEDERAL E NACIONAL:</w:t>
      </w:r>
    </w:p>
    <w:p w:rsidR="001C46B7" w:rsidRPr="00507F11" w:rsidP="001C46B7" w14:paraId="5F26FD15" w14:textId="35827EC0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Ministério da Igualdade Racial;</w:t>
      </w:r>
    </w:p>
    <w:p w:rsidR="001C46B7" w:rsidRPr="00507F11" w:rsidP="001C46B7" w14:paraId="75C80922" w14:textId="6A455E18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Casa da Igualdade Racial;</w:t>
      </w:r>
    </w:p>
    <w:p w:rsidR="001C46B7" w:rsidRPr="00507F11" w:rsidP="001C46B7" w14:paraId="16135CE2" w14:textId="0237B077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Conferência Nacional dos Bispos do Brasil (CNBB);</w:t>
      </w:r>
    </w:p>
    <w:p w:rsidR="001C46B7" w:rsidRPr="00507F11" w:rsidP="001C46B7" w14:paraId="7FDF0391" w14:textId="770C7F74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de Estado de Direitos Humanos;</w:t>
      </w:r>
    </w:p>
    <w:p w:rsidR="001C46B7" w:rsidRPr="00507F11" w:rsidP="001C46B7" w14:paraId="2998DE18" w14:textId="268BDB47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Conselho de Defesa dos Direitos da Pessoa Humana (</w:t>
      </w:r>
      <w:r w:rsidRPr="00507F11">
        <w:rPr>
          <w:rFonts w:ascii="Courier New" w:hAnsi="Courier New" w:cs="Courier New"/>
          <w:b/>
          <w:bCs/>
          <w:sz w:val="24"/>
          <w:szCs w:val="24"/>
        </w:rPr>
        <w:t>CDDPH</w:t>
      </w:r>
      <w:r w:rsidRPr="00507F11">
        <w:rPr>
          <w:rFonts w:ascii="Courier New" w:hAnsi="Courier New" w:cs="Courier New"/>
          <w:b/>
          <w:bCs/>
          <w:sz w:val="24"/>
          <w:szCs w:val="24"/>
        </w:rPr>
        <w:t>);</w:t>
      </w:r>
    </w:p>
    <w:p w:rsidR="001C46B7" w:rsidRPr="00507F11" w:rsidP="001C46B7" w14:paraId="688D017A" w14:textId="55583B73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Serviço de Proteção à Testemunha — Ministério da Justiça;</w:t>
      </w:r>
    </w:p>
    <w:p w:rsidR="001C46B7" w:rsidRPr="00507F11" w:rsidP="001C46B7" w14:paraId="047E9F75" w14:textId="18DFBDBC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Comissão de Direitos Humanos da Câmara dos Deputados (</w:t>
      </w:r>
      <w:r w:rsidRPr="00507F11">
        <w:rPr>
          <w:rFonts w:ascii="Courier New" w:hAnsi="Courier New" w:cs="Courier New"/>
          <w:b/>
          <w:bCs/>
          <w:sz w:val="24"/>
          <w:szCs w:val="24"/>
        </w:rPr>
        <w:t>CDH</w:t>
      </w:r>
      <w:r w:rsidRPr="00507F11">
        <w:rPr>
          <w:rFonts w:ascii="Courier New" w:hAnsi="Courier New" w:cs="Courier New"/>
          <w:b/>
          <w:bCs/>
          <w:sz w:val="24"/>
          <w:szCs w:val="24"/>
        </w:rPr>
        <w:t>);</w:t>
      </w:r>
    </w:p>
    <w:p w:rsidR="001C46B7" w:rsidRPr="00507F11" w:rsidP="001C46B7" w14:paraId="7E47E311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1C46B7" w:rsidRPr="00507F11" w:rsidP="001C46B7" w14:paraId="08B801D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 xml:space="preserve">2. ÂMBITO ESTADUAL E </w:t>
      </w:r>
      <w:r w:rsidRPr="00507F11">
        <w:rPr>
          <w:rFonts w:ascii="Courier New" w:hAnsi="Courier New" w:cs="Courier New"/>
          <w:b/>
          <w:bCs/>
          <w:sz w:val="24"/>
          <w:szCs w:val="24"/>
        </w:rPr>
        <w:t>INTERREGIONAL</w:t>
      </w:r>
      <w:r w:rsidRPr="00507F11"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1C46B7" w:rsidRPr="00507F11" w:rsidP="001C46B7" w14:paraId="162AEFF2" w14:textId="1C4FF980">
      <w:pPr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Ministério Público do Estado de São Paulo</w:t>
      </w:r>
      <w:r w:rsidRPr="00507F11">
        <w:rPr>
          <w:rFonts w:ascii="Courier New" w:hAnsi="Courier New" w:cs="Courier New"/>
          <w:sz w:val="24"/>
          <w:szCs w:val="24"/>
        </w:rPr>
        <w:t xml:space="preserve"> — Divisão de Atuação na Área de Inclusão Social (São Paulo/SP);</w:t>
      </w:r>
    </w:p>
    <w:p w:rsidR="001C46B7" w:rsidRPr="00507F11" w:rsidP="001C46B7" w14:paraId="0843C6CC" w14:textId="43235F11">
      <w:pPr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Ordem dos Advogados do Brasil (OAB/SP)</w:t>
      </w:r>
      <w:r w:rsidRPr="00507F11">
        <w:rPr>
          <w:rFonts w:ascii="Courier New" w:hAnsi="Courier New" w:cs="Courier New"/>
          <w:sz w:val="24"/>
          <w:szCs w:val="24"/>
        </w:rPr>
        <w:t xml:space="preserve"> — Comissão de Direitos Humanos;</w:t>
      </w:r>
    </w:p>
    <w:p w:rsidR="001C46B7" w:rsidRPr="00507F11" w:rsidP="001C46B7" w14:paraId="2B2E3636" w14:textId="5ADE5DCE">
      <w:pPr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Comissão de Direitos Humanos da Assembleia Legislativa do Estado de São Paulo;</w:t>
      </w:r>
    </w:p>
    <w:p w:rsidR="001C46B7" w:rsidRPr="00507F11" w:rsidP="001C46B7" w14:paraId="467264A0" w14:textId="3E48DA27">
      <w:pPr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Conferência Nacional dos Bispos (CNBB);</w:t>
      </w:r>
    </w:p>
    <w:p w:rsidR="001C46B7" w:rsidRPr="00507F11" w:rsidP="001C46B7" w14:paraId="2D8B3813" w14:textId="16EC2269">
      <w:pPr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Cáritas Brasileira — Secretaria Regional de São Paulo;</w:t>
      </w:r>
    </w:p>
    <w:p w:rsidR="001C46B7" w:rsidRPr="00507F11" w:rsidP="001C46B7" w14:paraId="40C68E5A" w14:textId="77777777">
      <w:pPr>
        <w:spacing w:before="120" w:after="12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6B7" w:rsidRPr="00507F11" w:rsidP="001C46B7" w14:paraId="50F30499" w14:textId="47E53F9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3. ÂMBITO MUNICIPAL (MOGI MIRIM):</w:t>
      </w:r>
    </w:p>
    <w:p w:rsidR="001C46B7" w:rsidRPr="00507F11" w:rsidP="001C46B7" w14:paraId="1604374E" w14:textId="77777777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Ordem dos Advogados do Brasil (Subseção Mogi Mirim)</w:t>
      </w:r>
      <w:r w:rsidRPr="00507F11">
        <w:rPr>
          <w:rFonts w:ascii="Courier New" w:hAnsi="Courier New" w:cs="Courier New"/>
          <w:sz w:val="24"/>
          <w:szCs w:val="24"/>
        </w:rPr>
        <w:t xml:space="preserve"> — Comissão de Direitos Humanos</w:t>
      </w:r>
    </w:p>
    <w:p w:rsidR="00507F11" w:rsidRPr="00507F11" w:rsidP="001C46B7" w14:paraId="065DF6BE" w14:textId="77777777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Casa dos Conselhos Municipais</w:t>
      </w:r>
      <w:r w:rsidRP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3ACA5705" w14:textId="7C82D35E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Conselho Municipal de Promoção da Igualdade Racial</w:t>
      </w:r>
      <w:r w:rsidRPr="00507F11" w:rsidR="00507F11">
        <w:rPr>
          <w:rFonts w:ascii="Courier New" w:hAnsi="Courier New" w:cs="Courier New"/>
          <w:sz w:val="24"/>
          <w:szCs w:val="24"/>
        </w:rPr>
        <w:t>;</w:t>
      </w:r>
    </w:p>
    <w:p w:rsidR="001C46B7" w:rsidRPr="00507F11" w:rsidP="001C46B7" w14:paraId="7F7930AE" w14:textId="41F3C7EA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Conselho Municipal de Saúde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674D898E" w14:textId="40494522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Conselho Tutelar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24A300A7" w14:textId="55EDFD1F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Conselho Municipal de Assistência Social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1C5CC802" w14:textId="26146AF3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Conselho Municipal dos Direitos da Criança e do Adolescente (CMDCA)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2E71B730" w14:textId="7857BA33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Conselho Municipal do Idoso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5B8D8AB2" w14:textId="588F3322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Conselho Municipal de Educação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600EBBD5" w14:textId="08A97BE4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Conselho Municipal do Meio Ambiente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507F11" w:rsidRPr="00507F11" w:rsidP="001C46B7" w14:paraId="2EE0D5DB" w14:textId="29B0DC7A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Governo;</w:t>
      </w:r>
    </w:p>
    <w:p w:rsidR="001C46B7" w:rsidRPr="00507F11" w:rsidP="001C46B7" w14:paraId="3048CD2C" w14:textId="7B8EC321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Assistência Social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73F3CEF2" w14:textId="23D3C56A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Cultura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6B57226E" w14:textId="0E4928DC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Esportes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08D0D45E" w14:textId="27B13FFD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Educação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4E6FDE1C" w14:textId="55F08C00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Turismo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34A8A859" w14:textId="0837B398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Saúde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454F1F72" w14:textId="5BF18EA8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Cidadania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07762C56" w14:textId="5CFAA4F6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Mobilidade Urbana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1C46B7" w:rsidRPr="00507F11" w:rsidP="001C46B7" w14:paraId="5B8FA380" w14:textId="16975AB8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134" w:hanging="283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Secretaria Municipal de Meio Ambiente</w:t>
      </w:r>
      <w:r w:rsidRPr="00507F11" w:rsidR="00507F11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3E7761" w:rsidRPr="00507F11" w:rsidP="003E7761" w14:paraId="411D7359" w14:textId="2F1750C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Por fim, há de se estabelecer o inderrogável compromisso de que este Poder Legislativo Municipal, no estrito cumprimento de seu múnus constitucional, interporá todos os recursos judiciais necessários e cabíveis em face da r. decisão de primeira instância </w:t>
      </w:r>
      <w:r w:rsidR="007A7C15">
        <w:rPr>
          <w:rFonts w:ascii="Courier New" w:hAnsi="Courier New" w:cs="Courier New"/>
          <w:sz w:val="24"/>
          <w:szCs w:val="24"/>
        </w:rPr>
        <w:t xml:space="preserve">prolatada nos autos de nº </w:t>
      </w:r>
      <w:r w:rsidRPr="007A7C15" w:rsidR="007A7C15">
        <w:rPr>
          <w:rFonts w:ascii="Courier New" w:hAnsi="Courier New" w:cs="Courier New"/>
          <w:sz w:val="24"/>
          <w:szCs w:val="24"/>
        </w:rPr>
        <w:t>1002748-29.2024.8.26.0363</w:t>
      </w:r>
      <w:r w:rsidR="007A7C15">
        <w:rPr>
          <w:rFonts w:ascii="Courier New" w:hAnsi="Courier New" w:cs="Courier New"/>
          <w:sz w:val="24"/>
          <w:szCs w:val="24"/>
        </w:rPr>
        <w:t xml:space="preserve">, desta comarca de Mogi Mirim, </w:t>
      </w:r>
      <w:r w:rsidRPr="00507F11">
        <w:rPr>
          <w:rFonts w:ascii="Courier New" w:hAnsi="Courier New" w:cs="Courier New"/>
          <w:sz w:val="24"/>
          <w:szCs w:val="24"/>
        </w:rPr>
        <w:t>que fragilizou as garantias institucionais duramente conquistadas.</w:t>
      </w:r>
    </w:p>
    <w:p w:rsidR="003E7761" w:rsidRPr="00507F11" w:rsidP="003E7761" w14:paraId="3B0AC14C" w14:textId="0BE3E6E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 xml:space="preserve">Amparado no Princípio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Pro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Homine</w:t>
      </w:r>
      <w:r w:rsidRPr="00507F11">
        <w:rPr>
          <w:rFonts w:ascii="Courier New" w:hAnsi="Courier New" w:cs="Courier New"/>
          <w:sz w:val="24"/>
          <w:szCs w:val="24"/>
        </w:rPr>
        <w:t xml:space="preserve"> e nos ditames de salvaguarda internacional dos direitos humanos, agindo com altivez para restabelecer a plena dignidade do movimento negro e resguardar os direitos fundamentais das pessoas que foram injustamente atingidas e </w:t>
      </w:r>
      <w:r w:rsidRPr="00507F11">
        <w:rPr>
          <w:rFonts w:ascii="Courier New" w:hAnsi="Courier New" w:cs="Courier New"/>
          <w:sz w:val="24"/>
          <w:szCs w:val="24"/>
        </w:rPr>
        <w:t>revitimizadas</w:t>
      </w:r>
      <w:r w:rsidRPr="00507F11">
        <w:rPr>
          <w:rFonts w:ascii="Courier New" w:hAnsi="Courier New" w:cs="Courier New"/>
          <w:sz w:val="24"/>
          <w:szCs w:val="24"/>
        </w:rPr>
        <w:t xml:space="preserve"> por provimentos judiciais reformáveis, fazendo valer,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ex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 debito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justitiae</w:t>
      </w:r>
      <w:r w:rsidRPr="00507F11">
        <w:rPr>
          <w:rFonts w:ascii="Courier New" w:hAnsi="Courier New" w:cs="Courier New"/>
          <w:sz w:val="24"/>
          <w:szCs w:val="24"/>
        </w:rPr>
        <w:t xml:space="preserve"> (por dever de justiça), a efetiva e substancial justiça à população afrodescendente em nossa cidade.</w:t>
      </w:r>
    </w:p>
    <w:p w:rsidR="003E7761" w:rsidRPr="00507F11" w:rsidP="003E7761" w14:paraId="1D336C0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54BC6" w:rsidRPr="00507F11" w:rsidP="003E7761" w14:paraId="68B119BD" w14:textId="2B7181C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sz w:val="24"/>
          <w:szCs w:val="24"/>
        </w:rPr>
        <w:t>Em tempo, reitero os protestos de respeito e consideração.</w:t>
      </w:r>
    </w:p>
    <w:p w:rsidR="000C2886" w:rsidRPr="00507F11" w:rsidP="003E7761" w14:paraId="2016821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507F11" w:rsidP="00A63896" w14:paraId="3B47A36A" w14:textId="50F2D6ED">
      <w:pPr>
        <w:spacing w:before="120" w:after="120" w:line="276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507F11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507F11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507F11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507F11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507F11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507F11">
        <w:rPr>
          <w:rFonts w:ascii="Courier New" w:hAnsi="Courier New" w:cs="Courier New"/>
          <w:i/>
          <w:iCs/>
          <w:sz w:val="24"/>
          <w:szCs w:val="24"/>
        </w:rPr>
        <w:t>26 de junho de 2026</w:t>
      </w:r>
      <w:r w:rsidRPr="00507F11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507F11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507F11" w:rsidP="00A63896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A63896" w:rsidRPr="00507F11" w:rsidP="00A63896" w14:paraId="1627886D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0C2886" w:rsidRPr="00507F11" w:rsidP="00A63896" w14:paraId="1FA7A8A9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507F11" w:rsidP="00A63896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507F11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507F11" w:rsidP="00A63896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07F11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507F11">
        <w:rPr>
          <w:rFonts w:ascii="Courier New" w:hAnsi="Courier New" w:cs="Courier New"/>
          <w:b/>
          <w:bCs/>
          <w:sz w:val="24"/>
          <w:szCs w:val="24"/>
        </w:rPr>
        <w:br/>
      </w:r>
      <w:r w:rsidRPr="00507F11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031FEB" w:rsidRPr="00507F11" w:rsidP="00A63896" w14:paraId="4D4D98F4" w14:textId="26D23FC4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507F11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133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5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5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DE4D8B9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67A66"/>
    <w:multiLevelType w:val="hybridMultilevel"/>
    <w:tmpl w:val="EFEE1554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01852"/>
    <w:multiLevelType w:val="hybridMultilevel"/>
    <w:tmpl w:val="5A48D208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F43891"/>
    <w:multiLevelType w:val="multilevel"/>
    <w:tmpl w:val="824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1542D"/>
    <w:multiLevelType w:val="multilevel"/>
    <w:tmpl w:val="2F5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C25585D"/>
    <w:multiLevelType w:val="multilevel"/>
    <w:tmpl w:val="75AA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2EAA"/>
    <w:rsid w:val="00022141"/>
    <w:rsid w:val="00031FEB"/>
    <w:rsid w:val="00037523"/>
    <w:rsid w:val="000428DB"/>
    <w:rsid w:val="00056D9C"/>
    <w:rsid w:val="000B4EDA"/>
    <w:rsid w:val="000B5735"/>
    <w:rsid w:val="000C2886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70094"/>
    <w:rsid w:val="00182771"/>
    <w:rsid w:val="00183AF0"/>
    <w:rsid w:val="001949B0"/>
    <w:rsid w:val="001959EF"/>
    <w:rsid w:val="001B42BA"/>
    <w:rsid w:val="001C46B7"/>
    <w:rsid w:val="00200F1C"/>
    <w:rsid w:val="00217732"/>
    <w:rsid w:val="00241452"/>
    <w:rsid w:val="0024425A"/>
    <w:rsid w:val="00245209"/>
    <w:rsid w:val="00257241"/>
    <w:rsid w:val="00263317"/>
    <w:rsid w:val="0026633C"/>
    <w:rsid w:val="0027575E"/>
    <w:rsid w:val="00296637"/>
    <w:rsid w:val="00296EA6"/>
    <w:rsid w:val="002A0C7F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4BC6"/>
    <w:rsid w:val="00355277"/>
    <w:rsid w:val="00374AF7"/>
    <w:rsid w:val="00386202"/>
    <w:rsid w:val="003E0416"/>
    <w:rsid w:val="003E7761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22CC"/>
    <w:rsid w:val="004E4ADA"/>
    <w:rsid w:val="004E5133"/>
    <w:rsid w:val="004F1BCE"/>
    <w:rsid w:val="004F7A40"/>
    <w:rsid w:val="00507EC7"/>
    <w:rsid w:val="00507F11"/>
    <w:rsid w:val="00510DC1"/>
    <w:rsid w:val="00537FEA"/>
    <w:rsid w:val="00545736"/>
    <w:rsid w:val="00564B9E"/>
    <w:rsid w:val="0057381F"/>
    <w:rsid w:val="0059377F"/>
    <w:rsid w:val="005D014E"/>
    <w:rsid w:val="005D1A64"/>
    <w:rsid w:val="005E33D2"/>
    <w:rsid w:val="005F2F3D"/>
    <w:rsid w:val="005F4D88"/>
    <w:rsid w:val="006319D1"/>
    <w:rsid w:val="00631E7C"/>
    <w:rsid w:val="00657DB6"/>
    <w:rsid w:val="0066388F"/>
    <w:rsid w:val="0068590A"/>
    <w:rsid w:val="006A36D1"/>
    <w:rsid w:val="006B0F55"/>
    <w:rsid w:val="006B2CD0"/>
    <w:rsid w:val="006B701B"/>
    <w:rsid w:val="006C3627"/>
    <w:rsid w:val="006C51EA"/>
    <w:rsid w:val="006D01AE"/>
    <w:rsid w:val="006D31CD"/>
    <w:rsid w:val="006D56EE"/>
    <w:rsid w:val="006E31FD"/>
    <w:rsid w:val="006F1151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97BFF"/>
    <w:rsid w:val="007A3234"/>
    <w:rsid w:val="007A702D"/>
    <w:rsid w:val="007A7C15"/>
    <w:rsid w:val="007C7F52"/>
    <w:rsid w:val="007E3DC3"/>
    <w:rsid w:val="007F5BB3"/>
    <w:rsid w:val="007F648B"/>
    <w:rsid w:val="008060C7"/>
    <w:rsid w:val="00815F08"/>
    <w:rsid w:val="00826BB5"/>
    <w:rsid w:val="008844E4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1393"/>
    <w:rsid w:val="009B5BE4"/>
    <w:rsid w:val="009F6628"/>
    <w:rsid w:val="00A01A56"/>
    <w:rsid w:val="00A23C0E"/>
    <w:rsid w:val="00A331D9"/>
    <w:rsid w:val="00A47FF5"/>
    <w:rsid w:val="00A56606"/>
    <w:rsid w:val="00A57636"/>
    <w:rsid w:val="00A6389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2724"/>
    <w:rsid w:val="00AD4535"/>
    <w:rsid w:val="00AE6E36"/>
    <w:rsid w:val="00B11CFB"/>
    <w:rsid w:val="00B1217C"/>
    <w:rsid w:val="00B24068"/>
    <w:rsid w:val="00B244CB"/>
    <w:rsid w:val="00B30920"/>
    <w:rsid w:val="00B36175"/>
    <w:rsid w:val="00B62CC6"/>
    <w:rsid w:val="00B638BB"/>
    <w:rsid w:val="00B75636"/>
    <w:rsid w:val="00B84210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1456"/>
    <w:rsid w:val="00C421B1"/>
    <w:rsid w:val="00C56F46"/>
    <w:rsid w:val="00C7327C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F249B"/>
    <w:rsid w:val="00E26DB0"/>
    <w:rsid w:val="00E44594"/>
    <w:rsid w:val="00E4672A"/>
    <w:rsid w:val="00E46ECB"/>
    <w:rsid w:val="00E6310A"/>
    <w:rsid w:val="00E66BA2"/>
    <w:rsid w:val="00E96597"/>
    <w:rsid w:val="00EA0BF6"/>
    <w:rsid w:val="00EA5CF5"/>
    <w:rsid w:val="00EB4386"/>
    <w:rsid w:val="00EB5B27"/>
    <w:rsid w:val="00EB727B"/>
    <w:rsid w:val="00ED2C5D"/>
    <w:rsid w:val="00EE21B7"/>
    <w:rsid w:val="00EE2876"/>
    <w:rsid w:val="00EE29C1"/>
    <w:rsid w:val="00EF46EB"/>
    <w:rsid w:val="00F41235"/>
    <w:rsid w:val="00F518ED"/>
    <w:rsid w:val="00F554E4"/>
    <w:rsid w:val="00F65A30"/>
    <w:rsid w:val="00F87F27"/>
    <w:rsid w:val="00FC3520"/>
    <w:rsid w:val="00FC7119"/>
    <w:rsid w:val="00FD410F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5</Pages>
  <Words>1386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16</cp:revision>
  <cp:lastPrinted>2026-06-26T17:11:04Z</cp:lastPrinted>
  <dcterms:created xsi:type="dcterms:W3CDTF">2026-01-09T01:35:00Z</dcterms:created>
  <dcterms:modified xsi:type="dcterms:W3CDTF">2026-06-26T17:10:00Z</dcterms:modified>
</cp:coreProperties>
</file>