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53712B" w:rsidP="00563209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53712B">
        <w:rPr>
          <w:rFonts w:ascii="Courier New" w:hAnsi="Courier New" w:cs="Courier New"/>
          <w:b/>
          <w:bCs/>
          <w:kern w:val="3"/>
          <w:sz w:val="28"/>
          <w:szCs w:val="28"/>
        </w:rPr>
        <w:t>Requerimento Nº 334/2026</w:t>
      </w:r>
      <w:r w:rsidRPr="0053712B">
        <w:rPr>
          <w:rFonts w:ascii="Courier New" w:hAnsi="Courier New" w:cs="Courier New"/>
          <w:b/>
          <w:bCs/>
          <w:kern w:val="3"/>
          <w:sz w:val="28"/>
          <w:szCs w:val="28"/>
        </w:rPr>
        <w:t>Requerimento Nº 334/2026</w:t>
      </w:r>
    </w:p>
    <w:p w:rsidR="007E3DC3" w:rsidRPr="0053712B" w:rsidP="00563209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53712B" w:rsidP="002D16B7" w14:paraId="5A5B76DB" w14:textId="3C396BB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53712B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53712B" w:rsidR="00277AE0">
        <w:rPr>
          <w:rFonts w:ascii="Courier New" w:hAnsi="Courier New" w:cs="Courier New"/>
          <w:b/>
          <w:kern w:val="3"/>
          <w:sz w:val="24"/>
          <w:szCs w:val="24"/>
        </w:rPr>
        <w:t>REQUER AO PODER EXECUTIVO MUNICIPAL, ATRAVÉS DA SECRETARIA MUNICIPAL DE FINANÇAS E DEMAIS ÓRGÃOS COMPETENTES, INFORMAÇÕES DETALHADAS E PEDAGÓGICAS ACERCA DOS CRITÉRIOS METODOLÓGICOS E MATEMÁTICOS UTILIZADOS PARA A APURAÇÃO DO VALOR VENAL E O CÁLCULO DO IMPOSTO PREDIAL E TERRITORIAL URBANO (IPTU) NO MUNICÍPIO DE MOGI MIRIM, UTILIZANDO COMO OBJETO DE DELIMITAÇÃO CONCRETA OS IMÓVEIS CADASTRADOS SOB AS INSCRIÇÕES IMOBILIÁRIAS CONSTANTES DOS CARNÊS ANEXOS.</w:t>
      </w:r>
    </w:p>
    <w:p w:rsidR="002D16B7" w:rsidRPr="0053712B" w:rsidP="00D022E8" w14:paraId="03A93A0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53712B" w:rsidP="00D022E8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53712B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53712B" w:rsidP="00D022E8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53712B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53712B" w:rsidP="00D022E8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277AE0" w:rsidRPr="0053712B" w:rsidP="00277AE0" w14:paraId="3BF4330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Apresento a V.Exa., com esteio no Art. 152 do Regimento Interno, este Requerimento de Informações ao Excelentíssimo Senhor Prefeito Municipal, para que, por intermédio da Secretaria Municipal de Finanças e demais órgãos da administração tributária competente, preste esclarecimentos cabais, pormenorizados e estritamente didáticos acerca da composição do valor venal e do subsequente lançamento do Imposto Predial e Territorial Urbano (IPTU) vigente no município.</w:t>
      </w:r>
    </w:p>
    <w:p w:rsidR="00277AE0" w:rsidRPr="0053712B" w:rsidP="00277AE0" w14:paraId="2256D9A8" w14:textId="1B7D1E3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 xml:space="preserve">A atividade financeira do Estado, sobretudo no que tange à exação fiscal, deve ser pautada pelo princípio da transparência administrativa e da motivação dos atos administrativos, em estrita observância ao princípio constitucional da publicidade e ao direito fundamental de acesso à informação, encartados no Art. 37,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caput</w:t>
      </w:r>
      <w:r w:rsidRPr="0053712B">
        <w:rPr>
          <w:rFonts w:ascii="Courier New" w:hAnsi="Courier New" w:cs="Courier New"/>
          <w:sz w:val="24"/>
          <w:szCs w:val="24"/>
        </w:rPr>
        <w:t xml:space="preserve">, e no Art. 5º, inciso </w:t>
      </w:r>
      <w:r w:rsidRPr="0053712B">
        <w:rPr>
          <w:rFonts w:ascii="Courier New" w:hAnsi="Courier New" w:cs="Courier New"/>
          <w:sz w:val="24"/>
          <w:szCs w:val="24"/>
        </w:rPr>
        <w:t>XXXIII</w:t>
      </w:r>
      <w:r w:rsidRPr="0053712B">
        <w:rPr>
          <w:rFonts w:ascii="Courier New" w:hAnsi="Courier New" w:cs="Courier New"/>
          <w:sz w:val="24"/>
          <w:szCs w:val="24"/>
        </w:rPr>
        <w:t>, da Carta Magna</w:t>
      </w:r>
      <w:r w:rsidRPr="0053712B">
        <w:rPr>
          <w:rFonts w:ascii="Courier New" w:hAnsi="Courier New" w:cs="Courier New"/>
          <w:sz w:val="24"/>
          <w:szCs w:val="24"/>
        </w:rPr>
        <w:t xml:space="preserve">, </w:t>
      </w:r>
      <w:r w:rsidRPr="0053712B">
        <w:rPr>
          <w:rFonts w:ascii="Courier New" w:hAnsi="Courier New" w:cs="Courier New"/>
          <w:sz w:val="24"/>
          <w:szCs w:val="24"/>
        </w:rPr>
        <w:t xml:space="preserve">de modo que o contribuinte compreenda com precisão o liame causal e aritmético que resulta no montante lançado em seu desfavor. Sob o império do postulado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 xml:space="preserve">secundum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legem</w:t>
      </w:r>
      <w:r w:rsidRPr="0053712B">
        <w:rPr>
          <w:rFonts w:ascii="Courier New" w:hAnsi="Courier New" w:cs="Courier New"/>
          <w:sz w:val="24"/>
          <w:szCs w:val="24"/>
        </w:rPr>
        <w:t>, o nascimento da obrigação tributária principal pressupõe a estrita legalidade e a cognoscibilidade de seus critérios de cálculo, extirpando-se qualquer margem para a obscuridade ou o arbítrio.</w:t>
      </w:r>
    </w:p>
    <w:p w:rsidR="00277AE0" w:rsidRPr="0053712B" w:rsidP="00277AE0" w14:paraId="78E8BF65" w14:textId="1A7F090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 xml:space="preserve">Fato é que o </w:t>
      </w:r>
      <w:r w:rsidRPr="0053712B">
        <w:rPr>
          <w:rFonts w:ascii="Courier New" w:hAnsi="Courier New" w:cs="Courier New"/>
          <w:sz w:val="24"/>
          <w:szCs w:val="24"/>
        </w:rPr>
        <w:t xml:space="preserve">cidadão comum possui o direito inalienável de auferir pedagógica demonstração do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quantum</w:t>
      </w:r>
      <w:r w:rsidRPr="0053712B">
        <w:rPr>
          <w:rFonts w:ascii="Courier New" w:hAnsi="Courier New" w:cs="Courier New"/>
          <w:sz w:val="24"/>
          <w:szCs w:val="24"/>
        </w:rPr>
        <w:t xml:space="preserve"> devido, de forma a viabilizar a autotutela e a verificação pessoal da exatidão do lançamento operado pela municipalidade. A ausência de uma demonstração matemática pormenorizada atenta contra a clareza devida aos administrados, violando a premissa de que a atividade </w:t>
      </w:r>
      <w:r w:rsidRPr="0053712B">
        <w:rPr>
          <w:rFonts w:ascii="Courier New" w:hAnsi="Courier New" w:cs="Courier New"/>
          <w:sz w:val="24"/>
          <w:szCs w:val="24"/>
        </w:rPr>
        <w:t xml:space="preserve">administrativa deve ser clara por si mesma, conforme evoca o brocardo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 xml:space="preserve">in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claris</w:t>
      </w:r>
      <w:r w:rsidRPr="0053712B">
        <w:rPr>
          <w:rFonts w:ascii="Courier New" w:hAnsi="Courier New" w:cs="Courier New"/>
          <w:i/>
          <w:iCs/>
          <w:sz w:val="24"/>
          <w:szCs w:val="24"/>
        </w:rPr>
        <w:t xml:space="preserve"> non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fit</w:t>
      </w:r>
      <w:r w:rsidRPr="0053712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interpretatio</w:t>
      </w:r>
      <w:r w:rsidRPr="0053712B">
        <w:rPr>
          <w:rFonts w:ascii="Courier New" w:hAnsi="Courier New" w:cs="Courier New"/>
          <w:sz w:val="24"/>
          <w:szCs w:val="24"/>
        </w:rPr>
        <w:t>.</w:t>
      </w:r>
    </w:p>
    <w:p w:rsidR="00277AE0" w:rsidRPr="0053712B" w:rsidP="00277AE0" w14:paraId="4EFD9889" w14:textId="19BE93A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Assim, c</w:t>
      </w:r>
      <w:r w:rsidRPr="0053712B">
        <w:rPr>
          <w:rFonts w:ascii="Courier New" w:hAnsi="Courier New" w:cs="Courier New"/>
          <w:sz w:val="24"/>
          <w:szCs w:val="24"/>
        </w:rPr>
        <w:t xml:space="preserve">om o escopo específico de delimitar um objeto concreto e obstar manifestações de natureza genérica ou abstrata por parte do Poder Executivo, colacionam-se ao presente os carnês de IPTU </w:t>
      </w:r>
      <w:r w:rsidR="006766B3">
        <w:rPr>
          <w:rFonts w:ascii="Courier New" w:hAnsi="Courier New" w:cs="Courier New"/>
          <w:sz w:val="24"/>
          <w:szCs w:val="24"/>
        </w:rPr>
        <w:t xml:space="preserve">(ANEXO I) </w:t>
      </w:r>
      <w:r w:rsidRPr="0053712B">
        <w:rPr>
          <w:rFonts w:ascii="Courier New" w:hAnsi="Courier New" w:cs="Courier New"/>
          <w:sz w:val="24"/>
          <w:szCs w:val="24"/>
        </w:rPr>
        <w:t>referentes aos exercícios de 2025 e 2026 do</w:t>
      </w:r>
      <w:r w:rsidRPr="0053712B">
        <w:rPr>
          <w:rFonts w:ascii="Courier New" w:hAnsi="Courier New" w:cs="Courier New"/>
          <w:sz w:val="24"/>
          <w:szCs w:val="24"/>
        </w:rPr>
        <w:t>s</w:t>
      </w:r>
      <w:r w:rsidRPr="0053712B">
        <w:rPr>
          <w:rFonts w:ascii="Courier New" w:hAnsi="Courier New" w:cs="Courier New"/>
          <w:sz w:val="24"/>
          <w:szCs w:val="24"/>
        </w:rPr>
        <w:t xml:space="preserve"> imóv</w:t>
      </w:r>
      <w:r w:rsidRPr="0053712B">
        <w:rPr>
          <w:rFonts w:ascii="Courier New" w:hAnsi="Courier New" w:cs="Courier New"/>
          <w:sz w:val="24"/>
          <w:szCs w:val="24"/>
        </w:rPr>
        <w:t>eis</w:t>
      </w:r>
      <w:r w:rsidRPr="0053712B">
        <w:rPr>
          <w:rFonts w:ascii="Courier New" w:hAnsi="Courier New" w:cs="Courier New"/>
          <w:sz w:val="24"/>
          <w:szCs w:val="24"/>
        </w:rPr>
        <w:t xml:space="preserve"> identificado</w:t>
      </w:r>
      <w:r w:rsidRPr="0053712B">
        <w:rPr>
          <w:rFonts w:ascii="Courier New" w:hAnsi="Courier New" w:cs="Courier New"/>
          <w:sz w:val="24"/>
          <w:szCs w:val="24"/>
        </w:rPr>
        <w:t>s</w:t>
      </w:r>
      <w:r w:rsidRPr="0053712B">
        <w:rPr>
          <w:rFonts w:ascii="Courier New" w:hAnsi="Courier New" w:cs="Courier New"/>
          <w:sz w:val="24"/>
          <w:szCs w:val="24"/>
        </w:rPr>
        <w:t xml:space="preserve"> como Gleba B </w:t>
      </w:r>
      <w:r w:rsidRPr="0053712B">
        <w:rPr>
          <w:rFonts w:ascii="Courier New" w:hAnsi="Courier New" w:cs="Courier New"/>
          <w:sz w:val="24"/>
          <w:szCs w:val="24"/>
        </w:rPr>
        <w:t xml:space="preserve">e </w:t>
      </w:r>
      <w:r w:rsidRPr="0053712B">
        <w:rPr>
          <w:rFonts w:ascii="Courier New" w:hAnsi="Courier New" w:cs="Courier New"/>
          <w:sz w:val="24"/>
          <w:szCs w:val="24"/>
        </w:rPr>
        <w:t>Gleba C</w:t>
      </w:r>
      <w:r w:rsidRPr="0053712B">
        <w:rPr>
          <w:rFonts w:ascii="Courier New" w:hAnsi="Courier New" w:cs="Courier New"/>
          <w:sz w:val="24"/>
          <w:szCs w:val="24"/>
        </w:rPr>
        <w:t xml:space="preserve"> </w:t>
      </w:r>
      <w:r w:rsidRPr="0053712B">
        <w:rPr>
          <w:rFonts w:ascii="Courier New" w:hAnsi="Courier New" w:cs="Courier New"/>
          <w:sz w:val="24"/>
          <w:szCs w:val="24"/>
        </w:rPr>
        <w:t>(Inscrição Imobiliária nº 55-06-24-0333-001</w:t>
      </w:r>
      <w:r w:rsidRPr="0053712B">
        <w:rPr>
          <w:rFonts w:ascii="Courier New" w:hAnsi="Courier New" w:cs="Courier New"/>
          <w:sz w:val="24"/>
          <w:szCs w:val="24"/>
        </w:rPr>
        <w:t>; e nº 55-05-65-0801-001</w:t>
      </w:r>
      <w:r w:rsidRPr="0053712B">
        <w:rPr>
          <w:rFonts w:ascii="Courier New" w:hAnsi="Courier New" w:cs="Courier New"/>
          <w:sz w:val="24"/>
          <w:szCs w:val="24"/>
        </w:rPr>
        <w:t>).</w:t>
      </w:r>
    </w:p>
    <w:p w:rsidR="00277AE0" w:rsidRPr="0053712B" w:rsidP="00277AE0" w14:paraId="14037CD5" w14:textId="6556C7A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A utilização de tais balizas fáticas e documentais serve exclusivamente como referencial prático para guiar a explicação metodológica da prefeitura</w:t>
      </w:r>
      <w:r w:rsidRPr="0053712B">
        <w:rPr>
          <w:rFonts w:ascii="Courier New" w:hAnsi="Courier New" w:cs="Courier New"/>
          <w:sz w:val="24"/>
          <w:szCs w:val="24"/>
        </w:rPr>
        <w:t>. O</w:t>
      </w:r>
      <w:r w:rsidRPr="0053712B">
        <w:rPr>
          <w:rFonts w:ascii="Courier New" w:hAnsi="Courier New" w:cs="Courier New"/>
          <w:sz w:val="24"/>
          <w:szCs w:val="24"/>
        </w:rPr>
        <w:t xml:space="preserve"> foco primordial reside na compreensão do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modus operandi</w:t>
      </w:r>
      <w:r w:rsidRPr="0053712B">
        <w:rPr>
          <w:rFonts w:ascii="Courier New" w:hAnsi="Courier New" w:cs="Courier New"/>
          <w:sz w:val="24"/>
          <w:szCs w:val="24"/>
        </w:rPr>
        <w:t xml:space="preserve"> dos cálculos para que este edil e qualquer cidadão possam, de forma autônoma e universal, replicar a mesma equação em qualquer outro imóvel do perímetro urbano de Mogi Mirim, identificando com precisão o valor venal e o imposto devido</w:t>
      </w:r>
      <w:r w:rsidRPr="0053712B">
        <w:rPr>
          <w:rFonts w:ascii="Courier New" w:hAnsi="Courier New" w:cs="Courier New"/>
          <w:sz w:val="24"/>
          <w:szCs w:val="24"/>
        </w:rPr>
        <w:t>.</w:t>
      </w:r>
    </w:p>
    <w:p w:rsidR="00277AE0" w:rsidRPr="0053712B" w:rsidP="00277AE0" w14:paraId="64D8A3A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Diante do exposto, requer-se as informações infra expostas:</w:t>
      </w:r>
    </w:p>
    <w:p w:rsidR="00A63FD1" w:rsidRPr="0053712B" w:rsidP="00A63FD1" w14:paraId="48A61790" w14:textId="77777777">
      <w:pPr>
        <w:spacing w:line="276" w:lineRule="auto"/>
        <w:ind w:right="566"/>
        <w:rPr>
          <w:rFonts w:ascii="Courier New" w:hAnsi="Courier New" w:cs="Courier New"/>
          <w:sz w:val="12"/>
          <w:szCs w:val="12"/>
        </w:rPr>
      </w:pPr>
    </w:p>
    <w:p w:rsidR="00A17BCA" w:rsidRPr="0053712B" w:rsidP="00A17BCA" w14:paraId="03060E11" w14:textId="3137941C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Qual a fórmula matemática exata e a metodologia passo a passo utilizada pela Secretaria de Finanças para a apuração do Valor Venal do Terreno e do Valor Venal da Edificação em Mogi Mirim? Pede-se que a resposta decline, separadamente, o peso de cada variável (testada, área ideal, zona/PGV, tipo de prédio) e como essas variáveis se multiplicam ou se somam no cálculo final.</w:t>
      </w:r>
    </w:p>
    <w:p w:rsidR="00A17BCA" w:rsidRPr="0053712B" w:rsidP="00A17BCA" w14:paraId="1A565042" w14:textId="77777777">
      <w:pPr>
        <w:spacing w:line="276" w:lineRule="auto"/>
        <w:jc w:val="both"/>
        <w:rPr>
          <w:rFonts w:ascii="Courier New" w:hAnsi="Courier New" w:cs="Courier New"/>
          <w:sz w:val="12"/>
          <w:szCs w:val="12"/>
        </w:rPr>
      </w:pPr>
    </w:p>
    <w:p w:rsidR="00A17BCA" w:rsidRPr="0053712B" w:rsidP="00A17BCA" w14:paraId="7C51C2A6" w14:textId="255187C7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 xml:space="preserve">Utilizando estritamente como exemplo prático e didático os carnês anexos da </w:t>
      </w:r>
      <w:r w:rsidRPr="0053712B">
        <w:rPr>
          <w:rFonts w:ascii="Courier New" w:hAnsi="Courier New" w:cs="Courier New"/>
          <w:sz w:val="24"/>
          <w:szCs w:val="24"/>
        </w:rPr>
        <w:t>“</w:t>
      </w:r>
      <w:r w:rsidRPr="0053712B">
        <w:rPr>
          <w:rFonts w:ascii="Courier New" w:hAnsi="Courier New" w:cs="Courier New"/>
          <w:sz w:val="24"/>
          <w:szCs w:val="24"/>
        </w:rPr>
        <w:t>Gleba B</w:t>
      </w:r>
      <w:r w:rsidRPr="0053712B">
        <w:rPr>
          <w:rFonts w:ascii="Courier New" w:hAnsi="Courier New" w:cs="Courier New"/>
          <w:sz w:val="24"/>
          <w:szCs w:val="24"/>
        </w:rPr>
        <w:t>”</w:t>
      </w:r>
      <w:r w:rsidRPr="0053712B">
        <w:rPr>
          <w:rFonts w:ascii="Courier New" w:hAnsi="Courier New" w:cs="Courier New"/>
          <w:sz w:val="24"/>
          <w:szCs w:val="24"/>
        </w:rPr>
        <w:t xml:space="preserve"> (Inscrição 55-06-24-0333-001)</w:t>
      </w:r>
      <w:r w:rsidRPr="0053712B">
        <w:rPr>
          <w:rFonts w:ascii="Courier New" w:hAnsi="Courier New" w:cs="Courier New"/>
          <w:sz w:val="24"/>
          <w:szCs w:val="24"/>
        </w:rPr>
        <w:t xml:space="preserve"> e “Gleba C” </w:t>
      </w:r>
      <w:r w:rsidRPr="0053712B">
        <w:rPr>
          <w:rFonts w:ascii="Courier New" w:hAnsi="Courier New" w:cs="Courier New"/>
          <w:sz w:val="24"/>
          <w:szCs w:val="24"/>
        </w:rPr>
        <w:t>(Inscrição 55-05-65-0801-001), como o Poder Executivo justifica aritmeticamente a transição dos valores venais e dos valores de imposto territorial e predial lançados entre o exercício de 2025 e o exercício de 2026? Demonstre a memória de cálculo minuciosa e integral que resultou nos valores específicos de Valor Venal Terreno e Valor Venal Edificação apresentados no demonstrativo de 2026.</w:t>
      </w:r>
    </w:p>
    <w:p w:rsidR="00A17BCA" w:rsidP="00A17BCA" w14:paraId="67A566DE" w14:textId="77777777">
      <w:pPr>
        <w:spacing w:line="276" w:lineRule="auto"/>
        <w:ind w:right="566"/>
        <w:rPr>
          <w:rFonts w:ascii="Courier New" w:hAnsi="Courier New" w:cs="Courier New"/>
          <w:sz w:val="12"/>
          <w:szCs w:val="12"/>
        </w:rPr>
      </w:pPr>
    </w:p>
    <w:p w:rsidR="0053712B" w:rsidRPr="0053712B" w:rsidP="00A17BCA" w14:paraId="744F5877" w14:textId="77777777">
      <w:pPr>
        <w:spacing w:line="276" w:lineRule="auto"/>
        <w:ind w:right="566"/>
        <w:rPr>
          <w:rFonts w:ascii="Courier New" w:hAnsi="Courier New" w:cs="Courier New"/>
          <w:sz w:val="12"/>
          <w:szCs w:val="12"/>
        </w:rPr>
      </w:pPr>
    </w:p>
    <w:p w:rsidR="00A17BCA" w:rsidRPr="0053712B" w:rsidP="00A17BCA" w14:paraId="4F68498F" w14:textId="1DF8AFCF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Quais são os fatores de correção, índices de depreciação, zonas de valorização ou coeficientes de localização previstos na legislação municipal vigente e como cada um deles foi aplicado especificamente sobre o objeto delimitado nos carnês acostados?</w:t>
      </w:r>
    </w:p>
    <w:p w:rsidR="00A17BCA" w:rsidRPr="0053712B" w:rsidP="00A17BCA" w14:paraId="6EDAD6E7" w14:textId="77777777">
      <w:pPr>
        <w:spacing w:line="276" w:lineRule="auto"/>
        <w:rPr>
          <w:rFonts w:ascii="Courier New" w:hAnsi="Courier New" w:cs="Courier New"/>
          <w:sz w:val="12"/>
          <w:szCs w:val="12"/>
        </w:rPr>
      </w:pPr>
    </w:p>
    <w:p w:rsidR="00905CE5" w:rsidRPr="0053712B" w:rsidP="00905CE5" w14:paraId="628883AE" w14:textId="1B9FA16A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 xml:space="preserve">De forma didática e detalhada </w:t>
      </w:r>
      <w:r w:rsidRPr="0053712B">
        <w:rPr>
          <w:rFonts w:ascii="Courier New" w:hAnsi="Courier New" w:cs="Courier New"/>
          <w:sz w:val="24"/>
          <w:szCs w:val="24"/>
        </w:rPr>
        <w:t>(</w:t>
      </w:r>
      <w:r w:rsidRPr="0053712B">
        <w:rPr>
          <w:rFonts w:ascii="Courier New" w:hAnsi="Courier New" w:cs="Courier New"/>
          <w:sz w:val="24"/>
          <w:szCs w:val="24"/>
        </w:rPr>
        <w:t>estruturada de modo a permitir que qualquer contribuinte sem conhecimentos técnicos em contabilidade ou direito tributário consiga replicar a operação</w:t>
      </w:r>
      <w:r w:rsidRPr="0053712B">
        <w:rPr>
          <w:rFonts w:ascii="Courier New" w:hAnsi="Courier New" w:cs="Courier New"/>
          <w:sz w:val="24"/>
          <w:szCs w:val="24"/>
        </w:rPr>
        <w:t>)</w:t>
      </w:r>
      <w:r w:rsidRPr="0053712B">
        <w:rPr>
          <w:rFonts w:ascii="Courier New" w:hAnsi="Courier New" w:cs="Courier New"/>
          <w:sz w:val="24"/>
          <w:szCs w:val="24"/>
        </w:rPr>
        <w:t>, qual é o roteiro de cálculo universal para se obter o valor final da parcela do IPTU e da Contribuição de Iluminação Pública (</w:t>
      </w:r>
      <w:r w:rsidRPr="0053712B">
        <w:rPr>
          <w:rFonts w:ascii="Courier New" w:hAnsi="Courier New" w:cs="Courier New"/>
          <w:sz w:val="24"/>
          <w:szCs w:val="24"/>
        </w:rPr>
        <w:t>CIP</w:t>
      </w:r>
      <w:r w:rsidRPr="0053712B">
        <w:rPr>
          <w:rFonts w:ascii="Courier New" w:hAnsi="Courier New" w:cs="Courier New"/>
          <w:sz w:val="24"/>
          <w:szCs w:val="24"/>
        </w:rPr>
        <w:t>) a partir dos dados brutos constantes da face de qualquer carnê emitido neste Município?</w:t>
      </w:r>
    </w:p>
    <w:p w:rsidR="0053712B" w:rsidRPr="0053712B" w:rsidP="0053712B" w14:paraId="343417CD" w14:textId="77777777">
      <w:pPr>
        <w:spacing w:line="276" w:lineRule="auto"/>
        <w:rPr>
          <w:rFonts w:ascii="Courier New" w:hAnsi="Courier New" w:cs="Courier New"/>
          <w:sz w:val="12"/>
          <w:szCs w:val="12"/>
        </w:rPr>
      </w:pPr>
    </w:p>
    <w:p w:rsidR="0053712B" w:rsidRPr="0053712B" w:rsidP="0053712B" w14:paraId="4D81F301" w14:textId="3322A533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Qual é a origem e a fundamentação técnica dos dados brutos utilizados como ponto de partida para esses cálculos? Especificamente, quando a municipalidade estipula o valor de mercado inicial do metro quadrado de um terreno ou de uma edificação para determinada zona, pede-se que indique a fonte exata de onde esses valores foram extraídos. Trata-se de pesquisa de mercado imobiliário, estudo técnico terceirizado, avaliação individual ou planta genérica de valores instituída por lei? Requer-se a indicação clara e a juntada dos atos normativos, relatórios ou bases de dados oficiais que balizam esses valores referenciais de partida antes da aplicação das fórmulas matemáticas.</w:t>
      </w:r>
    </w:p>
    <w:p w:rsidR="00905CE5" w:rsidRPr="0053712B" w:rsidP="00905CE5" w14:paraId="2A309F53" w14:textId="77777777">
      <w:pPr>
        <w:spacing w:line="276" w:lineRule="auto"/>
        <w:ind w:right="566"/>
        <w:rPr>
          <w:rFonts w:ascii="Courier New" w:hAnsi="Courier New" w:cs="Courier New"/>
          <w:sz w:val="12"/>
          <w:szCs w:val="12"/>
        </w:rPr>
      </w:pPr>
    </w:p>
    <w:p w:rsidR="00905CE5" w:rsidRPr="0053712B" w:rsidP="00905CE5" w14:paraId="265D0952" w14:textId="20851544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De forma</w:t>
      </w:r>
      <w:r w:rsidRPr="0053712B">
        <w:rPr>
          <w:rFonts w:ascii="Courier New" w:hAnsi="Courier New" w:cs="Courier New"/>
          <w:sz w:val="24"/>
          <w:szCs w:val="24"/>
        </w:rPr>
        <w:t xml:space="preserve"> simplificada, </w:t>
      </w:r>
      <w:r w:rsidRPr="0053712B">
        <w:rPr>
          <w:rFonts w:ascii="Courier New" w:hAnsi="Courier New" w:cs="Courier New"/>
          <w:sz w:val="24"/>
          <w:szCs w:val="24"/>
        </w:rPr>
        <w:t>didática e detalhada</w:t>
      </w:r>
      <w:r w:rsidRPr="0053712B">
        <w:rPr>
          <w:rFonts w:ascii="Courier New" w:hAnsi="Courier New" w:cs="Courier New"/>
          <w:sz w:val="24"/>
          <w:szCs w:val="24"/>
        </w:rPr>
        <w:t>, como eram feitos os referidos cálculos na vigência da lei anterior (2025) e como foi feito na vigência da atual lei (2026), explicado também as mudanças específicas?</w:t>
      </w:r>
    </w:p>
    <w:p w:rsidR="00A63FD1" w:rsidRPr="0053712B" w:rsidP="00A63FD1" w14:paraId="345BB31F" w14:textId="77777777">
      <w:pPr>
        <w:spacing w:line="276" w:lineRule="auto"/>
        <w:ind w:right="566"/>
        <w:rPr>
          <w:rFonts w:ascii="Courier New" w:hAnsi="Courier New" w:cs="Courier New"/>
          <w:sz w:val="12"/>
          <w:szCs w:val="12"/>
        </w:rPr>
      </w:pPr>
    </w:p>
    <w:p w:rsidR="00F60DCD" w:rsidRPr="0053712B" w:rsidP="00467C71" w14:paraId="6EF4663E" w14:textId="010CEEF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Dessa forma, requer-se que se utilizem dos documentos anexos e expliquem de forma pormenorizada como valoraram esses dois imóveis em específico, para que, após, possamos aplicar a mesma baliza da memória de cálculo em outros imóveis.</w:t>
      </w:r>
    </w:p>
    <w:p w:rsidR="00A63FD1" w:rsidRPr="0053712B" w:rsidP="00A63FD1" w14:paraId="0D0B2A25" w14:textId="6129233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>A explicação precisa ser extremamente detalhada, simples e didática. Mostr</w:t>
      </w:r>
      <w:r w:rsidRPr="0053712B">
        <w:rPr>
          <w:rFonts w:ascii="Courier New" w:hAnsi="Courier New" w:cs="Courier New"/>
          <w:sz w:val="24"/>
          <w:szCs w:val="24"/>
        </w:rPr>
        <w:t>ando</w:t>
      </w:r>
      <w:r w:rsidRPr="0053712B">
        <w:rPr>
          <w:rFonts w:ascii="Courier New" w:hAnsi="Courier New" w:cs="Courier New"/>
          <w:sz w:val="24"/>
          <w:szCs w:val="24"/>
        </w:rPr>
        <w:t xml:space="preserve"> como cada dado do carnê entra na conta e </w:t>
      </w:r>
      <w:r w:rsidRPr="0053712B">
        <w:rPr>
          <w:rFonts w:ascii="Courier New" w:hAnsi="Courier New" w:cs="Courier New"/>
          <w:sz w:val="24"/>
          <w:szCs w:val="24"/>
        </w:rPr>
        <w:t>como eles se multiplicam ou se somam até chegar no valor final do imposto.</w:t>
      </w:r>
      <w:r w:rsidRPr="0053712B">
        <w:rPr>
          <w:rFonts w:ascii="Courier New" w:hAnsi="Courier New" w:cs="Courier New"/>
          <w:sz w:val="24"/>
          <w:szCs w:val="24"/>
        </w:rPr>
        <w:t xml:space="preserve"> </w:t>
      </w:r>
      <w:r w:rsidRPr="0053712B">
        <w:rPr>
          <w:rFonts w:ascii="Courier New" w:hAnsi="Courier New" w:cs="Courier New"/>
          <w:sz w:val="24"/>
          <w:szCs w:val="24"/>
        </w:rPr>
        <w:t>O objetivo é que essa resposta seja um "</w:t>
      </w:r>
      <w:r w:rsidRPr="0053712B">
        <w:rPr>
          <w:rFonts w:ascii="Courier New" w:hAnsi="Courier New" w:cs="Courier New"/>
          <w:b/>
          <w:bCs/>
          <w:sz w:val="24"/>
          <w:szCs w:val="24"/>
          <w:highlight w:val="yellow"/>
        </w:rPr>
        <w:t>manual de instruções</w:t>
      </w:r>
      <w:r w:rsidRPr="0053712B">
        <w:rPr>
          <w:rFonts w:ascii="Courier New" w:hAnsi="Courier New" w:cs="Courier New"/>
          <w:sz w:val="24"/>
          <w:szCs w:val="24"/>
        </w:rPr>
        <w:t xml:space="preserve">" tão claro e universal que qualquer cidadão, pegando o carnê de qualquer outro imóvel da cidade, consiga aplicar </w:t>
      </w:r>
      <w:r w:rsidRPr="0053712B">
        <w:rPr>
          <w:rFonts w:ascii="Courier New" w:hAnsi="Courier New" w:cs="Courier New"/>
          <w:sz w:val="24"/>
          <w:szCs w:val="24"/>
        </w:rPr>
        <w:t>em seu imóvel</w:t>
      </w:r>
      <w:r w:rsidRPr="0053712B">
        <w:rPr>
          <w:rFonts w:ascii="Courier New" w:hAnsi="Courier New" w:cs="Courier New"/>
          <w:sz w:val="24"/>
          <w:szCs w:val="24"/>
        </w:rPr>
        <w:t xml:space="preserve"> e fazer a conta sozinho.</w:t>
      </w:r>
    </w:p>
    <w:p w:rsidR="006404F3" w:rsidRPr="0053712B" w:rsidP="00D022E8" w14:paraId="0E9E216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7571D2" w:rsidRPr="0053712B" w:rsidP="00D022E8" w14:paraId="12937655" w14:textId="465D915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sz w:val="24"/>
          <w:szCs w:val="24"/>
        </w:rPr>
        <w:t xml:space="preserve">Em tempo, </w:t>
      </w:r>
      <w:r w:rsidRPr="0053712B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53712B" w:rsidP="00D022E8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F60DCD" w:rsidRPr="0053712B" w:rsidP="00D022E8" w14:paraId="768841A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53712B" w:rsidP="00687C16" w14:paraId="3B47A36A" w14:textId="45552664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53712B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53712B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53712B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53712B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53712B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53712B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53712B">
        <w:rPr>
          <w:rFonts w:ascii="Courier New" w:hAnsi="Courier New" w:cs="Courier New"/>
          <w:i/>
          <w:iCs/>
          <w:sz w:val="24"/>
          <w:szCs w:val="24"/>
        </w:rPr>
        <w:t>8 de julho de 2026</w:t>
      </w:r>
      <w:r w:rsidRPr="0053712B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53712B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53712B" w:rsidP="00D022E8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2D16B7" w:rsidRPr="0053712B" w:rsidP="00D022E8" w14:paraId="13D22FAF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F60DCD" w:rsidRPr="0053712B" w:rsidP="00D022E8" w14:paraId="5C2CC713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53712B" w:rsidP="00D022E8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53712B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53712B" w:rsidP="00D022E8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3712B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53712B">
        <w:rPr>
          <w:rFonts w:ascii="Courier New" w:hAnsi="Courier New" w:cs="Courier New"/>
          <w:b/>
          <w:bCs/>
          <w:sz w:val="24"/>
          <w:szCs w:val="24"/>
        </w:rPr>
        <w:br/>
      </w:r>
      <w:r w:rsidRPr="0053712B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DF5BD2" w:rsidP="00D022E8" w14:paraId="4D4D98F4" w14:textId="61BD0C9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53712B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88527" cy="1293962"/>
            <wp:effectExtent l="0" t="0" r="0" b="1905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168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44" cy="13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D2" w14:paraId="2C98D1D3" w14:textId="77777777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E332A5" w:rsidRPr="00E332A5" w:rsidP="00D022E8" w14:paraId="101E6808" w14:textId="5DAD39B8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/>
          <w:kern w:val="3"/>
          <w:sz w:val="28"/>
          <w:szCs w:val="28"/>
          <w:u w:val="single"/>
        </w:rPr>
      </w:pPr>
      <w:r w:rsidRPr="00E332A5">
        <w:rPr>
          <w:rFonts w:ascii="Courier New" w:hAnsi="Courier New" w:cs="Courier New"/>
          <w:b/>
          <w:kern w:val="3"/>
          <w:sz w:val="28"/>
          <w:szCs w:val="28"/>
          <w:u w:val="single"/>
        </w:rPr>
        <w:t>ANEXO I</w:t>
      </w:r>
    </w:p>
    <w:p w:rsidR="00E332A5" w:rsidRPr="00E332A5" w:rsidP="00D022E8" w14:paraId="702BBCCA" w14:textId="77777777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/>
          <w:kern w:val="3"/>
          <w:sz w:val="24"/>
          <w:szCs w:val="24"/>
          <w:u w:val="single"/>
        </w:rPr>
      </w:pPr>
    </w:p>
    <w:p w:rsidR="00E332A5" w:rsidP="00E332A5" w14:paraId="1F12BCB0" w14:textId="2383BBC8">
      <w:pPr>
        <w:suppressAutoHyphens w:val="0"/>
        <w:spacing w:before="120" w:after="120" w:line="276" w:lineRule="auto"/>
        <w:rPr>
          <w:rFonts w:ascii="Courier New" w:hAnsi="Courier New" w:cs="Courier New"/>
          <w:bCs/>
          <w:kern w:val="3"/>
          <w:sz w:val="24"/>
          <w:szCs w:val="24"/>
        </w:rPr>
      </w:pPr>
      <w:r w:rsidRPr="00E332A5">
        <w:rPr>
          <w:rFonts w:ascii="Courier New" w:hAnsi="Courier New" w:cs="Courier New"/>
          <w:b/>
          <w:kern w:val="3"/>
          <w:sz w:val="24"/>
          <w:szCs w:val="24"/>
        </w:rPr>
        <w:t>Gleba B</w:t>
      </w:r>
      <w:r>
        <w:rPr>
          <w:rFonts w:ascii="Courier New" w:hAnsi="Courier New" w:cs="Courier New"/>
          <w:bCs/>
          <w:kern w:val="3"/>
          <w:sz w:val="24"/>
          <w:szCs w:val="24"/>
        </w:rPr>
        <w:t>:</w:t>
      </w:r>
    </w:p>
    <w:p w:rsidR="00E332A5" w:rsidP="00E332A5" w14:paraId="78BF4BB3" w14:textId="77777777">
      <w:pPr>
        <w:suppressAutoHyphens w:val="0"/>
        <w:spacing w:before="120" w:after="120" w:line="276" w:lineRule="auto"/>
        <w:rPr>
          <w:rFonts w:ascii="Courier New" w:hAnsi="Courier New" w:cs="Courier New"/>
          <w:bCs/>
          <w:kern w:val="3"/>
          <w:sz w:val="24"/>
          <w:szCs w:val="24"/>
        </w:rPr>
      </w:pPr>
    </w:p>
    <w:p w:rsidR="00E332A5" w:rsidP="00D022E8" w14:paraId="13651ED8" w14:textId="78B0729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398885</wp:posOffset>
                </wp:positionH>
                <wp:positionV relativeFrom="paragraph">
                  <wp:posOffset>4172585</wp:posOffset>
                </wp:positionV>
                <wp:extent cx="690007" cy="95367"/>
                <wp:effectExtent l="0" t="0" r="15240" b="19050"/>
                <wp:wrapNone/>
                <wp:docPr id="19972346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007" cy="953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5" style="width:54.35pt;height:7.5pt;margin-top:328.55pt;margin-left:31.4pt;mso-wrap-distance-bottom:0;mso-wrap-distance-left:9pt;mso-wrap-distance-right:9pt;mso-wrap-distance-top:0;mso-wrap-style:square;position:absolute;visibility:visible;v-text-anchor:middle;z-index:251663360" fillcolor="black" strokecolor="black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3969565</wp:posOffset>
                </wp:positionH>
                <wp:positionV relativeFrom="paragraph">
                  <wp:posOffset>625775</wp:posOffset>
                </wp:positionV>
                <wp:extent cx="690007" cy="95367"/>
                <wp:effectExtent l="0" t="0" r="15240" b="19050"/>
                <wp:wrapNone/>
                <wp:docPr id="857011686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007" cy="953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6" style="width:54.35pt;height:7.5pt;margin-top:49.25pt;margin-left:312.55pt;mso-wrap-distance-bottom:0;mso-wrap-distance-left:9pt;mso-wrap-distance-right:9pt;mso-wrap-distance-top:0;mso-wrap-style:square;position:absolute;visibility:visible;v-text-anchor:middle;z-index:251661312" fillcolor="black" strokecolor="black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1354525</wp:posOffset>
                </wp:positionH>
                <wp:positionV relativeFrom="paragraph">
                  <wp:posOffset>625401</wp:posOffset>
                </wp:positionV>
                <wp:extent cx="690007" cy="95367"/>
                <wp:effectExtent l="0" t="0" r="15240" b="19050"/>
                <wp:wrapNone/>
                <wp:docPr id="1946496540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007" cy="953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7" style="width:54.35pt;height:7.5pt;margin-top:49.25pt;margin-left:106.65pt;mso-wrap-distance-bottom:0;mso-wrap-distance-left:9pt;mso-wrap-distance-right:9pt;mso-wrap-distance-top:0;mso-wrap-style:square;position:absolute;visibility:visible;v-text-anchor:middle;z-index:251659264" fillcolor="black" strokecolor="black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513515" cy="3074342"/>
            <wp:effectExtent l="133350" t="114300" r="125730" b="107315"/>
            <wp:docPr id="3601932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2925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15" cy="3079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8578" cy="3044262"/>
            <wp:effectExtent l="133350" t="114300" r="130810" b="118110"/>
            <wp:docPr id="146592630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067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965" cy="30483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32A5" w14:paraId="6EB7CF8C" w14:textId="1CA23302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E332A5" w:rsidP="00E332A5" w14:paraId="03C0882D" w14:textId="2D3C86D4">
      <w:pPr>
        <w:suppressAutoHyphens w:val="0"/>
        <w:spacing w:before="120" w:after="120" w:line="276" w:lineRule="auto"/>
        <w:rPr>
          <w:rFonts w:ascii="Courier New" w:hAnsi="Courier New" w:cs="Courier New"/>
          <w:bCs/>
          <w:kern w:val="3"/>
          <w:sz w:val="24"/>
          <w:szCs w:val="24"/>
        </w:rPr>
      </w:pPr>
      <w:r w:rsidRPr="00E332A5">
        <w:rPr>
          <w:rFonts w:ascii="Courier New" w:hAnsi="Courier New" w:cs="Courier New"/>
          <w:b/>
          <w:kern w:val="3"/>
          <w:sz w:val="24"/>
          <w:szCs w:val="24"/>
        </w:rPr>
        <w:t xml:space="preserve">Gleba </w:t>
      </w:r>
      <w:r>
        <w:rPr>
          <w:rFonts w:ascii="Courier New" w:hAnsi="Courier New" w:cs="Courier New"/>
          <w:b/>
          <w:kern w:val="3"/>
          <w:sz w:val="24"/>
          <w:szCs w:val="24"/>
        </w:rPr>
        <w:t>C</w:t>
      </w:r>
      <w:r>
        <w:rPr>
          <w:rFonts w:ascii="Courier New" w:hAnsi="Courier New" w:cs="Courier New"/>
          <w:bCs/>
          <w:kern w:val="3"/>
          <w:sz w:val="24"/>
          <w:szCs w:val="24"/>
        </w:rPr>
        <w:t>:</w:t>
      </w:r>
    </w:p>
    <w:p w:rsidR="00E332A5" w:rsidP="00E332A5" w14:paraId="158BA507" w14:textId="77777777">
      <w:pPr>
        <w:suppressAutoHyphens w:val="0"/>
        <w:spacing w:before="120" w:after="120" w:line="276" w:lineRule="auto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RPr="0053712B" w:rsidP="00D022E8" w14:paraId="2865BAD4" w14:textId="47FAA7AA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399552</wp:posOffset>
                </wp:positionH>
                <wp:positionV relativeFrom="paragraph">
                  <wp:posOffset>4133083</wp:posOffset>
                </wp:positionV>
                <wp:extent cx="690007" cy="95367"/>
                <wp:effectExtent l="0" t="0" r="15240" b="19050"/>
                <wp:wrapNone/>
                <wp:docPr id="359738147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007" cy="953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8" style="width:54.35pt;height:7.5pt;margin-top:325.45pt;margin-left:31.45pt;mso-wrap-distance-bottom:0;mso-wrap-distance-left:9pt;mso-wrap-distance-right:9pt;mso-wrap-distance-top:0;mso-wrap-style:square;position:absolute;visibility:visible;v-text-anchor:middle;z-index:251669504" fillcolor="black" strokecolor="black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1120670</wp:posOffset>
                </wp:positionH>
                <wp:positionV relativeFrom="paragraph">
                  <wp:posOffset>800100</wp:posOffset>
                </wp:positionV>
                <wp:extent cx="689610" cy="95250"/>
                <wp:effectExtent l="0" t="0" r="15240" b="19050"/>
                <wp:wrapNone/>
                <wp:docPr id="1234758432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961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29" style="width:54.3pt;height:7.5pt;margin-top:63pt;margin-left:88.25pt;mso-wrap-distance-bottom:0;mso-wrap-distance-left:9pt;mso-wrap-distance-right:9pt;mso-wrap-distance-top:0;mso-wrap-style:square;position:absolute;visibility:visible;v-text-anchor:middle;z-index:251665408" fillcolor="black" strokecolor="black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3856974</wp:posOffset>
                </wp:positionH>
                <wp:positionV relativeFrom="paragraph">
                  <wp:posOffset>703880</wp:posOffset>
                </wp:positionV>
                <wp:extent cx="690007" cy="95367"/>
                <wp:effectExtent l="0" t="0" r="15240" b="19050"/>
                <wp:wrapNone/>
                <wp:docPr id="99334031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007" cy="953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9" o:spid="_x0000_s1030" style="width:54.35pt;height:7.5pt;margin-top:55.4pt;margin-left:303.7pt;mso-wrap-distance-bottom:0;mso-wrap-distance-left:9pt;mso-wrap-distance-right:9pt;mso-wrap-distance-top:0;mso-wrap-style:square;position:absolute;visibility:visible;v-text-anchor:middle;z-index:251667456" fillcolor="black" strokecolor="black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537722" cy="3094514"/>
            <wp:effectExtent l="133350" t="114300" r="139700" b="106045"/>
            <wp:docPr id="12673709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0502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1" t="11005" r="3384" b="1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078" cy="31064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14172" cy="2835808"/>
            <wp:effectExtent l="133350" t="114300" r="125095" b="117475"/>
            <wp:docPr id="41967992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8511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00" cy="28462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2D25FF">
      <w:headerReference w:type="default" r:id="rId10"/>
      <w:footerReference w:type="default" r:id="rId11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6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6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5390A"/>
    <w:multiLevelType w:val="multilevel"/>
    <w:tmpl w:val="170C87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46B6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2E033A"/>
    <w:multiLevelType w:val="multilevel"/>
    <w:tmpl w:val="0D26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9"/>
  </w:num>
  <w:num w:numId="5">
    <w:abstractNumId w:val="0"/>
  </w:num>
  <w:num w:numId="6">
    <w:abstractNumId w:val="1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12"/>
  </w:num>
  <w:num w:numId="12">
    <w:abstractNumId w:val="10"/>
  </w:num>
  <w:num w:numId="13">
    <w:abstractNumId w:val="1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3F21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77AE0"/>
    <w:rsid w:val="00296637"/>
    <w:rsid w:val="00296EA6"/>
    <w:rsid w:val="002C14C0"/>
    <w:rsid w:val="002C44D6"/>
    <w:rsid w:val="002C7842"/>
    <w:rsid w:val="002D16B7"/>
    <w:rsid w:val="002D25FF"/>
    <w:rsid w:val="002D2C82"/>
    <w:rsid w:val="002D68CE"/>
    <w:rsid w:val="002D704B"/>
    <w:rsid w:val="002F76C7"/>
    <w:rsid w:val="00307AFD"/>
    <w:rsid w:val="003226F4"/>
    <w:rsid w:val="00324503"/>
    <w:rsid w:val="00327030"/>
    <w:rsid w:val="003274BA"/>
    <w:rsid w:val="00332D04"/>
    <w:rsid w:val="003403D0"/>
    <w:rsid w:val="0035370A"/>
    <w:rsid w:val="00355277"/>
    <w:rsid w:val="00374AF7"/>
    <w:rsid w:val="003805F9"/>
    <w:rsid w:val="00386202"/>
    <w:rsid w:val="00395801"/>
    <w:rsid w:val="003E0416"/>
    <w:rsid w:val="00401038"/>
    <w:rsid w:val="00402140"/>
    <w:rsid w:val="0041397C"/>
    <w:rsid w:val="00422A0D"/>
    <w:rsid w:val="00426E1A"/>
    <w:rsid w:val="00452524"/>
    <w:rsid w:val="004622A3"/>
    <w:rsid w:val="00466795"/>
    <w:rsid w:val="00467C71"/>
    <w:rsid w:val="004706AB"/>
    <w:rsid w:val="00481B75"/>
    <w:rsid w:val="00493ABC"/>
    <w:rsid w:val="004C4CD8"/>
    <w:rsid w:val="004C7ED8"/>
    <w:rsid w:val="004D0063"/>
    <w:rsid w:val="004D7FB4"/>
    <w:rsid w:val="004E3B1E"/>
    <w:rsid w:val="004E4ADA"/>
    <w:rsid w:val="004F1BCE"/>
    <w:rsid w:val="004F3753"/>
    <w:rsid w:val="004F516C"/>
    <w:rsid w:val="004F5376"/>
    <w:rsid w:val="004F7A40"/>
    <w:rsid w:val="00507EC7"/>
    <w:rsid w:val="00510DC1"/>
    <w:rsid w:val="00511DA2"/>
    <w:rsid w:val="00527739"/>
    <w:rsid w:val="0053712B"/>
    <w:rsid w:val="00537FEA"/>
    <w:rsid w:val="00563209"/>
    <w:rsid w:val="00564B9E"/>
    <w:rsid w:val="0057381F"/>
    <w:rsid w:val="00573E7A"/>
    <w:rsid w:val="0059377F"/>
    <w:rsid w:val="005A5184"/>
    <w:rsid w:val="005C48FE"/>
    <w:rsid w:val="005D014E"/>
    <w:rsid w:val="005D1A64"/>
    <w:rsid w:val="005E33D2"/>
    <w:rsid w:val="005E52D1"/>
    <w:rsid w:val="005F4015"/>
    <w:rsid w:val="005F4D88"/>
    <w:rsid w:val="005F7DF0"/>
    <w:rsid w:val="00600ABE"/>
    <w:rsid w:val="00605473"/>
    <w:rsid w:val="006267C8"/>
    <w:rsid w:val="006319D1"/>
    <w:rsid w:val="006355F0"/>
    <w:rsid w:val="006404F3"/>
    <w:rsid w:val="006516C8"/>
    <w:rsid w:val="00657DB6"/>
    <w:rsid w:val="0066388F"/>
    <w:rsid w:val="006766B3"/>
    <w:rsid w:val="0068590A"/>
    <w:rsid w:val="00687C16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6006B"/>
    <w:rsid w:val="0078781A"/>
    <w:rsid w:val="00792F39"/>
    <w:rsid w:val="007A3234"/>
    <w:rsid w:val="007A517A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05CE5"/>
    <w:rsid w:val="00923162"/>
    <w:rsid w:val="0094153C"/>
    <w:rsid w:val="00954EDC"/>
    <w:rsid w:val="00962D1C"/>
    <w:rsid w:val="009678F0"/>
    <w:rsid w:val="00986774"/>
    <w:rsid w:val="00991752"/>
    <w:rsid w:val="009974FC"/>
    <w:rsid w:val="009A34E3"/>
    <w:rsid w:val="009A51F6"/>
    <w:rsid w:val="009B5BE4"/>
    <w:rsid w:val="009D1ECF"/>
    <w:rsid w:val="009F6628"/>
    <w:rsid w:val="00A17BCA"/>
    <w:rsid w:val="00A2055A"/>
    <w:rsid w:val="00A23C0E"/>
    <w:rsid w:val="00A331D9"/>
    <w:rsid w:val="00A47FF5"/>
    <w:rsid w:val="00A56606"/>
    <w:rsid w:val="00A57636"/>
    <w:rsid w:val="00A63FD1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C29"/>
    <w:rsid w:val="00C04FE4"/>
    <w:rsid w:val="00C211AD"/>
    <w:rsid w:val="00C2517C"/>
    <w:rsid w:val="00C31D75"/>
    <w:rsid w:val="00C3392B"/>
    <w:rsid w:val="00C372C4"/>
    <w:rsid w:val="00C421B1"/>
    <w:rsid w:val="00C7230D"/>
    <w:rsid w:val="00C95BB4"/>
    <w:rsid w:val="00C97C3B"/>
    <w:rsid w:val="00CA4CE7"/>
    <w:rsid w:val="00CC385D"/>
    <w:rsid w:val="00CD2F3F"/>
    <w:rsid w:val="00CE2081"/>
    <w:rsid w:val="00D022E8"/>
    <w:rsid w:val="00D06CAA"/>
    <w:rsid w:val="00D079E0"/>
    <w:rsid w:val="00D15103"/>
    <w:rsid w:val="00D168E9"/>
    <w:rsid w:val="00D448AF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DF5BD2"/>
    <w:rsid w:val="00E21B3F"/>
    <w:rsid w:val="00E26DB0"/>
    <w:rsid w:val="00E30FC4"/>
    <w:rsid w:val="00E332A5"/>
    <w:rsid w:val="00E4672A"/>
    <w:rsid w:val="00E46ECB"/>
    <w:rsid w:val="00E52FF0"/>
    <w:rsid w:val="00E66BA2"/>
    <w:rsid w:val="00E84798"/>
    <w:rsid w:val="00E86BC6"/>
    <w:rsid w:val="00E96597"/>
    <w:rsid w:val="00E97A73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0DCD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2A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6</Pages>
  <Words>1008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46</cp:revision>
  <cp:lastPrinted>2026-07-08T16:24:28Z</cp:lastPrinted>
  <dcterms:created xsi:type="dcterms:W3CDTF">2026-01-09T01:35:00Z</dcterms:created>
  <dcterms:modified xsi:type="dcterms:W3CDTF">2026-07-03T14:24:00Z</dcterms:modified>
</cp:coreProperties>
</file>