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2A58" w:rsidP="00ED5A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Lei Nº 78/2026</w:t>
      </w:r>
      <w:r>
        <w:rPr>
          <w:rFonts w:ascii="Arial" w:hAnsi="Arial" w:cs="Arial"/>
          <w:sz w:val="24"/>
          <w:szCs w:val="24"/>
        </w:rPr>
        <w:t>Projeto de Lei Nº 78/2026</w:t>
      </w:r>
    </w:p>
    <w:p w:rsidR="00B51FCE" w:rsidRPr="00ED5A18" w:rsidP="00ED5A18">
      <w:pPr>
        <w:jc w:val="bot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jc w:val="both"/>
        <w:rPr>
          <w:rFonts w:ascii="Arial" w:hAnsi="Arial" w:cs="Arial"/>
          <w:sz w:val="24"/>
          <w:szCs w:val="24"/>
        </w:rPr>
      </w:pPr>
    </w:p>
    <w:p w:rsidR="00ED5A18" w:rsidRPr="00ED5A18" w:rsidP="00B51FCE">
      <w:pPr>
        <w:suppressAutoHyphens w:val="0"/>
        <w:ind w:left="2268"/>
        <w:jc w:val="both"/>
        <w:rPr>
          <w:rFonts w:ascii="Arial" w:hAnsi="Arial" w:cs="Arial"/>
          <w:b/>
          <w:iCs/>
          <w:sz w:val="24"/>
          <w:szCs w:val="24"/>
        </w:rPr>
      </w:pPr>
      <w:r w:rsidRPr="00ED5A18">
        <w:rPr>
          <w:rFonts w:ascii="Arial" w:hAnsi="Arial" w:cs="Arial"/>
          <w:b/>
          <w:iCs/>
          <w:sz w:val="24"/>
          <w:szCs w:val="24"/>
        </w:rPr>
        <w:t>DISPÕE SOBRE A OBRIGATORIEDADE DE DIVULGAÇÃO, TRANSPARÊNCIA E PRESTAÇÃO DE CONTAS DETALHADA ACERCA DA ARRECADAÇÃO E DA DESTINAÇÃO DOS RECURSOS PROVENIENTES DE MULTAS DE TRÂNSITO NO ÂMBITO DO MUNICÍPIO DE MOGI MIRIM, E DÁ OUTRAS PROVIDÊNCIAS.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856D71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5A18" w:rsidRPr="00ED5A18" w:rsidP="00ED5A18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 CÂMARA MUNICIPAL DE MOGI MIRIM APROVA:</w:t>
      </w:r>
    </w:p>
    <w:p w:rsidR="00ED5A18" w:rsidRPr="00ED5A18" w:rsidP="00ED5A18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D5A18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Art. 1º</w:t>
      </w:r>
      <w:r w:rsidRPr="00ED5A18">
        <w:rPr>
          <w:rFonts w:ascii="Arial" w:hAnsi="Arial" w:cs="Arial"/>
          <w:sz w:val="24"/>
          <w:szCs w:val="24"/>
        </w:rPr>
        <w:t xml:space="preserve"> Fica assegurada a ampla transparência e a publicidade periódica dos demonstrativos detalhados da arrecadação e da destinação dos recursos financeiros decorrentes das multas por infrações de trânsito aplicadas no Município de Mogi Mirim. </w:t>
      </w: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Art. 2º</w:t>
      </w:r>
      <w:r w:rsidRPr="00ED5A18">
        <w:rPr>
          <w:rFonts w:ascii="Arial" w:hAnsi="Arial" w:cs="Arial"/>
          <w:sz w:val="24"/>
          <w:szCs w:val="24"/>
        </w:rPr>
        <w:t xml:space="preserve"> A divulgação das informações de que trata esta Lei deverá ocorrer quadrimestralmente, em local visível, de destaque e de fácil acesso na página principal do site oficial e no Portal da Transparência da Prefeitura Municipal de Mogi Mirim. </w:t>
      </w: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Art. 3º</w:t>
      </w:r>
      <w:r w:rsidRPr="00ED5A18">
        <w:rPr>
          <w:rFonts w:ascii="Arial" w:hAnsi="Arial" w:cs="Arial"/>
          <w:sz w:val="24"/>
          <w:szCs w:val="24"/>
        </w:rPr>
        <w:t xml:space="preserve"> Os demonstrativos publicados deverão conter, de forma consolidada, didática e em formato de dados abertos, no mínimo, as seguintes informações: </w:t>
      </w:r>
    </w:p>
    <w:p w:rsidR="00ED5A18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RPr="00ED5A18" w:rsidP="00B51FCE">
      <w:pPr>
        <w:suppressAutoHyphens w:val="0"/>
        <w:ind w:left="851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I -</w:t>
      </w:r>
      <w:r w:rsidRPr="00ED5A18">
        <w:rPr>
          <w:rFonts w:ascii="Arial" w:hAnsi="Arial" w:cs="Arial"/>
          <w:sz w:val="24"/>
          <w:szCs w:val="24"/>
        </w:rPr>
        <w:t xml:space="preserve"> O número total de multas por infrações de trânsito aplicadas a cada mês, detalhadas por tipo de infração cometida e pelo meio de autuação (fiscalização eletrônica ou por agentes de trânsito); </w:t>
      </w:r>
    </w:p>
    <w:p w:rsidR="00ED5A18" w:rsidRPr="00ED5A18" w:rsidP="00B51FCE">
      <w:pPr>
        <w:suppressAutoHyphens w:val="0"/>
        <w:ind w:left="851"/>
        <w:jc w:val="both"/>
        <w:rPr>
          <w:rFonts w:ascii="Arial" w:hAnsi="Arial" w:cs="Arial"/>
          <w:sz w:val="24"/>
          <w:szCs w:val="24"/>
        </w:rPr>
      </w:pPr>
    </w:p>
    <w:p w:rsidR="00ED5A18" w:rsidP="00B51FCE">
      <w:pPr>
        <w:suppressAutoHyphens w:val="0"/>
        <w:ind w:left="851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II -</w:t>
      </w:r>
      <w:r w:rsidRPr="00ED5A18">
        <w:rPr>
          <w:rFonts w:ascii="Arial" w:hAnsi="Arial" w:cs="Arial"/>
          <w:sz w:val="24"/>
          <w:szCs w:val="24"/>
        </w:rPr>
        <w:t xml:space="preserve"> O valor total arrecadado mensalmente com a cobrança das multas de trânsito, incluindo juros e correções monetárias; </w:t>
      </w:r>
    </w:p>
    <w:p w:rsidR="005D7447" w:rsidP="00B51FCE">
      <w:pPr>
        <w:suppressAutoHyphens w:val="0"/>
        <w:ind w:left="851"/>
        <w:jc w:val="both"/>
        <w:rPr>
          <w:rFonts w:ascii="Arial" w:hAnsi="Arial" w:cs="Arial"/>
          <w:sz w:val="24"/>
          <w:szCs w:val="24"/>
        </w:rPr>
      </w:pPr>
    </w:p>
    <w:p w:rsidR="005D7447" w:rsidRPr="005D7447" w:rsidP="005D7447">
      <w:pPr>
        <w:suppressAutoHyphens w:val="0"/>
        <w:ind w:left="851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b/>
          <w:sz w:val="24"/>
          <w:szCs w:val="24"/>
        </w:rPr>
        <w:t xml:space="preserve">III </w:t>
      </w:r>
      <w:r w:rsidRPr="005D7447">
        <w:rPr>
          <w:rFonts w:ascii="Arial" w:hAnsi="Arial" w:cs="Arial"/>
          <w:sz w:val="24"/>
          <w:szCs w:val="24"/>
        </w:rPr>
        <w:t>- O detalhamento das despesas categorizadas e ajustadas à estrutura do art. 320 do CTB (conforme a Lei Federal nº 15.153/2025), segundo as seguintes alíneas:</w:t>
      </w:r>
    </w:p>
    <w:p w:rsidR="005D7447" w:rsidRPr="005D7447" w:rsidP="005D7447">
      <w:pPr>
        <w:suppressAutoHyphens w:val="0"/>
        <w:ind w:left="851"/>
        <w:jc w:val="both"/>
        <w:rPr>
          <w:rFonts w:ascii="Arial" w:hAnsi="Arial" w:cs="Arial"/>
          <w:sz w:val="24"/>
          <w:szCs w:val="24"/>
        </w:rPr>
      </w:pPr>
    </w:p>
    <w:p w:rsidR="005D7447" w:rsidRPr="005D7447" w:rsidP="005D7447">
      <w:pPr>
        <w:suppressAutoHyphens w:val="0"/>
        <w:ind w:left="1440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sz w:val="24"/>
          <w:szCs w:val="24"/>
        </w:rPr>
        <w:t>a) Sinalização de trânsito (art. 320, caput);</w:t>
      </w:r>
    </w:p>
    <w:p w:rsidR="005D7447" w:rsidRPr="005D7447" w:rsidP="005D7447">
      <w:pPr>
        <w:suppressAutoHyphens w:val="0"/>
        <w:ind w:left="1440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sz w:val="24"/>
          <w:szCs w:val="24"/>
        </w:rPr>
        <w:t>b) Engenharia de tráfego e engenharia de campo (art. 320, caput);</w:t>
      </w:r>
    </w:p>
    <w:p w:rsidR="005D7447" w:rsidRPr="005D7447" w:rsidP="005D7447">
      <w:pPr>
        <w:suppressAutoHyphens w:val="0"/>
        <w:ind w:left="1440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sz w:val="24"/>
          <w:szCs w:val="24"/>
        </w:rPr>
        <w:t>c) Policiamento e fiscalização de trânsito (art. 320, caput);</w:t>
      </w:r>
    </w:p>
    <w:p w:rsidR="005D7447" w:rsidRPr="005D7447" w:rsidP="005D7447">
      <w:pPr>
        <w:suppressAutoHyphens w:val="0"/>
        <w:ind w:left="1440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sz w:val="24"/>
          <w:szCs w:val="24"/>
        </w:rPr>
        <w:t>d) Renovação de frota circulante (art. 320, caput);</w:t>
      </w:r>
    </w:p>
    <w:p w:rsidR="005D7447" w:rsidRPr="005D7447" w:rsidP="005D7447">
      <w:pPr>
        <w:suppressAutoHyphens w:val="0"/>
        <w:ind w:left="1440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sz w:val="24"/>
          <w:szCs w:val="24"/>
        </w:rPr>
        <w:t>e) Educação para o trânsito (art. 320, caput);</w:t>
      </w:r>
    </w:p>
    <w:p w:rsidR="005D7447" w:rsidRPr="00ED5A18" w:rsidP="005D7447">
      <w:pPr>
        <w:suppressAutoHyphens w:val="0"/>
        <w:ind w:left="1440"/>
        <w:jc w:val="both"/>
        <w:rPr>
          <w:rFonts w:ascii="Arial" w:hAnsi="Arial" w:cs="Arial"/>
          <w:sz w:val="24"/>
          <w:szCs w:val="24"/>
        </w:rPr>
      </w:pPr>
      <w:r w:rsidRPr="005D7447">
        <w:rPr>
          <w:rFonts w:ascii="Arial" w:hAnsi="Arial" w:cs="Arial"/>
          <w:sz w:val="24"/>
          <w:szCs w:val="24"/>
        </w:rPr>
        <w:t xml:space="preserve">f) Custeio do processo de formação e concessão de documento de habilitação para candidatos de baixa renda inscritos no </w:t>
      </w:r>
      <w:r w:rsidRPr="005D7447">
        <w:rPr>
          <w:rFonts w:ascii="Arial" w:hAnsi="Arial" w:cs="Arial"/>
          <w:sz w:val="24"/>
          <w:szCs w:val="24"/>
        </w:rPr>
        <w:t>CadÚnico</w:t>
      </w:r>
      <w:r w:rsidRPr="005D7447">
        <w:rPr>
          <w:rFonts w:ascii="Arial" w:hAnsi="Arial" w:cs="Arial"/>
          <w:sz w:val="24"/>
          <w:szCs w:val="24"/>
        </w:rPr>
        <w:t xml:space="preserve"> (art. 320, caput e §§ 4º e 5º);</w:t>
      </w:r>
    </w:p>
    <w:p w:rsidR="00ED5A18" w:rsidRPr="00ED5A18" w:rsidP="005D7447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suppressAutoHyphens w:val="0"/>
        <w:ind w:left="720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IV -</w:t>
      </w:r>
      <w:r w:rsidRPr="00ED5A18">
        <w:rPr>
          <w:rFonts w:ascii="Arial" w:hAnsi="Arial" w:cs="Arial"/>
          <w:sz w:val="24"/>
          <w:szCs w:val="24"/>
        </w:rPr>
        <w:t xml:space="preserve"> O demonstrativo do saldo financeiro acumulado na conta específica de receitas de trânsito no encerramento de cada período quadrimestral.</w:t>
      </w: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Art. 4º</w:t>
      </w:r>
      <w:r w:rsidRPr="00ED5A18">
        <w:rPr>
          <w:rFonts w:ascii="Arial" w:hAnsi="Arial" w:cs="Arial"/>
          <w:sz w:val="24"/>
          <w:szCs w:val="24"/>
        </w:rPr>
        <w:t xml:space="preserve"> Para fins de orientação e controle social, as publicações deverão incluir tabela comparativa especificando expressamente as finalidades permitidas e as vedações legais para aplicação das receitas, nos termos do Código de Trânsito Brasileiro e dos pareceres dos Tribunais de Contas.</w:t>
      </w: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Art. 5º</w:t>
      </w:r>
      <w:r w:rsidRPr="00ED5A18">
        <w:rPr>
          <w:rFonts w:ascii="Arial" w:hAnsi="Arial" w:cs="Arial"/>
          <w:sz w:val="24"/>
          <w:szCs w:val="24"/>
        </w:rPr>
        <w:t xml:space="preserve"> O Poder Executivo regulamentará a presente Lei, no que couber, no prazo de 60 (sessenta) dias contados a partir da data de sua publicação. </w:t>
      </w: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D5A18" w:rsidRPr="00ED5A18" w:rsidP="00B51FCE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Art. 6º</w:t>
      </w:r>
      <w:r w:rsidRPr="00ED5A18">
        <w:rPr>
          <w:rFonts w:ascii="Arial" w:hAnsi="Arial" w:cs="Arial"/>
          <w:sz w:val="24"/>
          <w:szCs w:val="24"/>
        </w:rPr>
        <w:t xml:space="preserve"> Esta Lei entra em vigor na data de sua publicação. 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E58CB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E58CB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E58CB" w:rsidRPr="00C255B5" w:rsidP="00EE58CB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 29</w:t>
      </w:r>
      <w:r w:rsidRPr="00C255B5"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agosto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EE58CB" w:rsidRPr="00B51FCE" w:rsidP="00EE58C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E58CB" w:rsidRPr="00B51FCE" w:rsidP="00EE58C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1859955</wp:posOffset>
            </wp:positionH>
            <wp:positionV relativeFrom="paragraph">
              <wp:posOffset>69215</wp:posOffset>
            </wp:positionV>
            <wp:extent cx="2253967" cy="563888"/>
            <wp:effectExtent l="0" t="0" r="0" b="762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381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967" cy="5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FCE" w:rsidRPr="00B51FCE" w:rsidP="00EE58CB">
      <w:pPr>
        <w:spacing w:line="360" w:lineRule="auto"/>
        <w:jc w:val="center"/>
        <w:rPr>
          <w:rFonts w:ascii="Arial" w:hAnsi="Arial" w:cs="Arial"/>
          <w:i/>
          <w:szCs w:val="24"/>
        </w:rPr>
      </w:pPr>
    </w:p>
    <w:p w:rsidR="00B51FCE" w:rsidRPr="00B51FCE" w:rsidP="00EE58CB">
      <w:pPr>
        <w:spacing w:line="360" w:lineRule="auto"/>
        <w:jc w:val="center"/>
        <w:rPr>
          <w:rFonts w:ascii="Arial" w:hAnsi="Arial" w:cs="Arial"/>
          <w:szCs w:val="24"/>
        </w:rPr>
      </w:pPr>
    </w:p>
    <w:p w:rsidR="00EE58CB" w:rsidP="00EE58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>
        <w:rPr>
          <w:rFonts w:ascii="Arial" w:hAnsi="Arial" w:cs="Arial"/>
          <w:b/>
          <w:sz w:val="24"/>
          <w:szCs w:val="24"/>
        </w:rPr>
        <w:t>EREADOR LUIS ROBERTO TAVARES</w:t>
      </w:r>
    </w:p>
    <w:p w:rsidR="00ED5A18" w:rsidRPr="00ED5A18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D5A18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D5A18" w:rsidRPr="00EE58CB" w:rsidP="00EE58CB">
      <w:pPr>
        <w:suppressAutoHyphens w:val="0"/>
        <w:jc w:val="right"/>
        <w:outlineLvl w:val="1"/>
        <w:rPr>
          <w:bCs/>
          <w:i/>
          <w:sz w:val="24"/>
          <w:szCs w:val="24"/>
        </w:rPr>
      </w:pPr>
      <w:r w:rsidRPr="00EE58CB">
        <w:rPr>
          <w:bCs/>
          <w:i/>
          <w:sz w:val="24"/>
          <w:szCs w:val="24"/>
        </w:rPr>
        <w:t>Continuação</w:t>
      </w:r>
    </w:p>
    <w:p w:rsidR="00EE58CB" w:rsidP="00ED5A18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E58CB">
      <w:pPr>
        <w:suppressAutoHyphens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JUSTIFICATIVA</w:t>
      </w:r>
    </w:p>
    <w:p w:rsidR="00ED5A18" w:rsidRPr="00ED5A18" w:rsidP="00ED5A18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D5A18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Senhor Presidente,</w:t>
      </w:r>
    </w:p>
    <w:p w:rsidR="00ED5A18" w:rsidP="00ED5A18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Senhores Vereadores,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E58CB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E58CB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Submeto à elevada apreciação desta Egrégia Casa de Leis o presente Projeto de Lei, cujo objetivo precípuo é concretizar e aprofundar, no Município de Mogi Mirim, o princípio constitucional da publicidade e da transparência na gestão dos recursos públicos, especificamente no que tange às receitas originadas da arrecadação de multas de trânsito. 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suppressAutoHyphens w:val="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1. Do Contexto Local e da Necessidade do Controle Social em Mogi Mirim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E58CB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>No Município de Mogi Mirim, os cidadãos frequentemente questionam a destinação dos valores arrecadados por meio da fiscalização eletrônica (radares) e da atuação dos agentes municipais de trânsito. A percepção pública acerca do rigor fiscalizatório exige, como contrapartida democrática e ética, absoluta clareza sobre onde cada centavo arrecadado é reinvestido.</w:t>
      </w:r>
    </w:p>
    <w:p w:rsidR="00ED5A18" w:rsidRPr="00ED5A18" w:rsidP="00EE58CB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 </w:t>
      </w:r>
    </w:p>
    <w:p w:rsidR="00ED5A18" w:rsidP="00EE58CB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Garantir a transparência ativa quadrimestral permite que o cidadão </w:t>
      </w:r>
      <w:r w:rsidRPr="00ED5A18">
        <w:rPr>
          <w:rFonts w:ascii="Arial" w:hAnsi="Arial" w:cs="Arial"/>
          <w:sz w:val="24"/>
          <w:szCs w:val="24"/>
        </w:rPr>
        <w:t>mogimiriano</w:t>
      </w:r>
      <w:r w:rsidRPr="00ED5A18">
        <w:rPr>
          <w:rFonts w:ascii="Arial" w:hAnsi="Arial" w:cs="Arial"/>
          <w:sz w:val="24"/>
          <w:szCs w:val="24"/>
        </w:rPr>
        <w:t xml:space="preserve"> certifique-se de que os recursos das multas exercem sua função </w:t>
      </w:r>
      <w:r w:rsidRPr="00ED5A18">
        <w:rPr>
          <w:rFonts w:ascii="Arial" w:hAnsi="Arial" w:cs="Arial"/>
          <w:sz w:val="24"/>
          <w:szCs w:val="24"/>
        </w:rPr>
        <w:t>primórdia</w:t>
      </w:r>
      <w:r w:rsidRPr="00ED5A18">
        <w:rPr>
          <w:rFonts w:ascii="Arial" w:hAnsi="Arial" w:cs="Arial"/>
          <w:sz w:val="24"/>
          <w:szCs w:val="24"/>
        </w:rPr>
        <w:t>: promover a segurança viária e salvar vidas, e não atuar como mero instrumento arrecadatório ou fonte de custeio geral da máquina administrativa.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E58CB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suppressAutoHyphens w:val="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2. Plena Constitucionalidade e Rigor Jurídico da Propositura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A presente iniciativa parlamentar encontra-se revestida de inquestionável constitucionalidade formal e material, devidamente respaldada pela mais consolidada jurisprudência do Supremo Tribunal Federal (STF): </w:t>
      </w:r>
    </w:p>
    <w:p w:rsidR="00ED5A18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RPr="00EE58CB" w:rsidP="00EE58CB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Tema 917 da Repercussão Geral (STF):</w:t>
      </w:r>
      <w:r w:rsidRPr="00ED5A18">
        <w:rPr>
          <w:rFonts w:ascii="Arial" w:hAnsi="Arial" w:cs="Arial"/>
          <w:sz w:val="24"/>
          <w:szCs w:val="24"/>
        </w:rPr>
        <w:t xml:space="preserve"> O Supremo Tribunal Federal fixou a tese segundo a qual: </w:t>
      </w:r>
      <w:r w:rsidRPr="00ED5A18">
        <w:rPr>
          <w:rFonts w:ascii="Arial" w:hAnsi="Arial" w:cs="Arial"/>
          <w:i/>
          <w:iCs/>
          <w:sz w:val="24"/>
          <w:szCs w:val="24"/>
        </w:rPr>
        <w:t>"Não usurpa competência privativa do Chefe do Poder Executivo lei que, embora crie despesa para a Administração, não trata da sua estrutura ou da atribuição de seus órgãos nem do regime jurídico de seus servidores"</w:t>
      </w:r>
      <w:r w:rsidRPr="00ED5A18">
        <w:rPr>
          <w:rFonts w:ascii="Arial" w:hAnsi="Arial" w:cs="Arial"/>
          <w:sz w:val="24"/>
          <w:szCs w:val="24"/>
        </w:rPr>
        <w:t xml:space="preserve">. A obrigatoriedade de divulgar dados em portal eletrônico constitui dever burocrático informativo de custo irrisório, plenamente compatível com o poder de iniciativa do Poder Legislativo. </w:t>
      </w:r>
    </w:p>
    <w:p w:rsidR="00ED5A18" w:rsidRPr="00ED5A18" w:rsidP="00ED5A18">
      <w:pPr>
        <w:suppressAutoHyphens w:val="0"/>
        <w:ind w:left="72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Precedente Específico – ARE 1.465.827/RJ (STF):</w:t>
      </w:r>
      <w:r w:rsidRPr="00ED5A18">
        <w:rPr>
          <w:rFonts w:ascii="Arial" w:hAnsi="Arial" w:cs="Arial"/>
          <w:sz w:val="24"/>
          <w:szCs w:val="24"/>
        </w:rPr>
        <w:t xml:space="preserve"> O STF julgou formal e materialmente constitucional lei idêntica de iniciativa parlamentar, assentando que </w:t>
      </w:r>
      <w:r w:rsidRPr="00ED5A18">
        <w:rPr>
          <w:rFonts w:ascii="Arial" w:hAnsi="Arial" w:cs="Arial"/>
          <w:sz w:val="24"/>
          <w:szCs w:val="24"/>
        </w:rPr>
        <w:t xml:space="preserve">normas relativas à divulgação de arrecadação e destinação de multas de trânsito não legislam sobre direito de trânsito (competência da União), tampouco violam a separação de poderes, limitando-se a conferir concretude ao princípio da transparência pública (Art. 37, </w:t>
      </w:r>
      <w:r w:rsidRPr="00ED5A18">
        <w:rPr>
          <w:rFonts w:ascii="Arial" w:hAnsi="Arial" w:cs="Arial"/>
          <w:i/>
          <w:iCs/>
          <w:sz w:val="24"/>
          <w:szCs w:val="24"/>
        </w:rPr>
        <w:t>caput</w:t>
      </w:r>
      <w:r w:rsidRPr="00ED5A18">
        <w:rPr>
          <w:rFonts w:ascii="Arial" w:hAnsi="Arial" w:cs="Arial"/>
          <w:sz w:val="24"/>
          <w:szCs w:val="24"/>
        </w:rPr>
        <w:t xml:space="preserve">, CF/88). </w:t>
      </w:r>
    </w:p>
    <w:p w:rsidR="00B51FCE" w:rsidP="00B51FCE">
      <w:pPr>
        <w:pStyle w:val="ListParagraph"/>
        <w:rPr>
          <w:rFonts w:ascii="Arial" w:hAnsi="Arial" w:cs="Arial"/>
          <w:sz w:val="24"/>
          <w:szCs w:val="24"/>
        </w:rPr>
      </w:pPr>
    </w:p>
    <w:p w:rsidR="00B51FCE" w:rsidRPr="00B51FCE" w:rsidP="00B51FCE">
      <w:pPr>
        <w:suppressAutoHyphens w:val="0"/>
        <w:ind w:left="1134" w:right="1134"/>
        <w:jc w:val="both"/>
        <w:rPr>
          <w:i/>
        </w:rPr>
      </w:pPr>
      <w:r w:rsidRPr="00B51FCE">
        <w:rPr>
          <w:i/>
        </w:rPr>
        <w:t>“</w:t>
      </w:r>
      <w:r w:rsidRPr="005D7447">
        <w:rPr>
          <w:b/>
          <w:i/>
        </w:rPr>
        <w:t>REPRESENTAÇÃO DE INCONSTITUCIONALIDADE. LEI 3.441/2021 DO MUNICÍPIO DE BARRA DO PIRAÍ: DIVULGAÇÃO DA APLICAÇÃO DE RECURSOS PROVENIENTES DE MULTAS DE TRÂNSITO. PRINCÍPIO DA PUBLICIDADE. CONSTITUCIONALIDADE</w:t>
      </w:r>
      <w:r w:rsidRPr="00B51FCE">
        <w:rPr>
          <w:i/>
        </w:rPr>
        <w:t xml:space="preserve">. 1. Lei n.º 3.441/21, de iniciativa parlamentar, que assegura a divulgação de informações sobre o destino dos recursos oriundos de multas de trânsito aplicadas no município. Ausência de vícios. 2. Lei que não versa sobre trânsito nem sobre transporte, senão sobre a divulgação de dados alusivos à arrecadação e à destinação de recursos oriundos de multas de trânsito, de nítido interesse público, sem se imiscuir em matéria de iniciativa legislativa reservada, mas densificando o princípio constitucional da publicidade (art. 77, caput, CERJ). 3. ‘O Poder Público, por ser público, deve agir com a maior transparência possível, a fim de que os administrados tenham, a toda hora, conhecimento do que os administradores estão fazendo’ (DA SILVA). 4. Já se decidiu que ‘lei que obriga o Poder Executivo a divulgar na imprensa oficial e na internet dados relativos a contratos de obras públicas não depende de iniciativa do chefe do Poder Executivo’. Demais, ‘a legislação estadual inspira-se no princípio da publicidade, na sua vertente mais específica, a da transparência dos atos do Poder Público’ (STF), o que em tudo se aplica à presente quaestio. </w:t>
      </w:r>
      <w:r w:rsidRPr="005D7447">
        <w:rPr>
          <w:b/>
          <w:i/>
        </w:rPr>
        <w:t xml:space="preserve">IMPROCEDÊNCIA DO PEDIDO: CONSTITUCIONALIDADE DA </w:t>
      </w:r>
      <w:r w:rsidRPr="005D7447">
        <w:rPr>
          <w:b/>
          <w:i/>
        </w:rPr>
        <w:t>LEI</w:t>
      </w:r>
      <w:r w:rsidRPr="00B51FCE">
        <w:rPr>
          <w:i/>
        </w:rPr>
        <w:t>.”</w:t>
      </w:r>
    </w:p>
    <w:p w:rsidR="00B51FCE" w:rsidRPr="00B51FCE" w:rsidP="00B51FCE">
      <w:pPr>
        <w:suppressAutoHyphens w:val="0"/>
        <w:ind w:left="1134" w:right="1134"/>
        <w:jc w:val="both"/>
        <w:rPr>
          <w:i/>
        </w:rPr>
      </w:pPr>
    </w:p>
    <w:p w:rsidR="00B51FCE" w:rsidRPr="00B51FCE" w:rsidP="00B51FCE">
      <w:pPr>
        <w:suppressAutoHyphens w:val="0"/>
        <w:ind w:left="1134" w:right="113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(STF - ARE: 1465827 RJ, Relator</w:t>
      </w:r>
      <w:r w:rsidRPr="00B51FCE">
        <w:rPr>
          <w:i/>
          <w:sz w:val="24"/>
          <w:szCs w:val="24"/>
        </w:rPr>
        <w:t xml:space="preserve">: CRISTIANO ZANIN, Data de Julgamento: 08/11/2023, Data de Publicação: PROCESSO ELETRÔNICO </w:t>
      </w:r>
      <w:r w:rsidRPr="00B51FCE">
        <w:rPr>
          <w:i/>
          <w:sz w:val="24"/>
          <w:szCs w:val="24"/>
        </w:rPr>
        <w:t>DJe</w:t>
      </w:r>
      <w:r w:rsidRPr="00B51FCE">
        <w:rPr>
          <w:i/>
          <w:sz w:val="24"/>
          <w:szCs w:val="24"/>
        </w:rPr>
        <w:t>-s/n DIVULG 08/11/2023 PUBLIC 09/11/2023)</w:t>
      </w:r>
    </w:p>
    <w:p w:rsidR="00ED5A18" w:rsidP="00ED5A18">
      <w:pPr>
        <w:pStyle w:val="ListParagraph"/>
        <w:rPr>
          <w:rFonts w:ascii="Arial" w:hAnsi="Arial" w:cs="Arial"/>
          <w:sz w:val="24"/>
          <w:szCs w:val="24"/>
        </w:rPr>
      </w:pPr>
    </w:p>
    <w:p w:rsidR="00ED5A18" w:rsidP="00ED5A18">
      <w:pPr>
        <w:pStyle w:val="ListParagrap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suppressAutoHyphens w:val="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3. A Regra do Art. 320 do CTB e a Vedação ao Desvio de Finalidade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O art. 320 da Lei Federal nº 9.503/1997 (CTB) estabelece norma cogente e imperativa: </w:t>
      </w:r>
      <w:r w:rsidRPr="00ED5A18">
        <w:rPr>
          <w:rFonts w:ascii="Arial" w:hAnsi="Arial" w:cs="Arial"/>
          <w:b/>
          <w:bCs/>
          <w:sz w:val="24"/>
          <w:szCs w:val="24"/>
        </w:rPr>
        <w:t>a receita arrecadada com a cobrança das multas de trânsito será aplicada, exclusivamente, em sinalização, engenharia de tráfego, de campo, policiamento, fiscalização e educação de trânsito</w:t>
      </w:r>
      <w:r w:rsidRPr="00ED5A18">
        <w:rPr>
          <w:rFonts w:ascii="Arial" w:hAnsi="Arial" w:cs="Arial"/>
          <w:sz w:val="24"/>
          <w:szCs w:val="24"/>
        </w:rPr>
        <w:t xml:space="preserve">, ressalvado o repasse compulsório de 5% ao FUNSET. </w:t>
      </w:r>
    </w:p>
    <w:p w:rsidR="00ED5A18" w:rsidRP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>Para assegurar o cumprimento rigoroso da norma federal e evitar o desvio de finalidade ou a alocação indevida de recursos no "caixa único" da Prefeitura, a tabela a seguir consolida as diretrizes vigentes que pautarão os demonstrativos exigidos por esta Lei:</w:t>
      </w:r>
    </w:p>
    <w:p w:rsidR="00ED5A18" w:rsidRP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5"/>
        <w:gridCol w:w="3822"/>
        <w:gridCol w:w="3594"/>
      </w:tblGrid>
      <w:tr w:rsidTr="00ED5A18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>Categoria (Art. 320 CTB) PDF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Aplicações Permitidas (Legal)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Aplicações Vedadas (Irregular / Desvio)</w:t>
            </w:r>
          </w:p>
        </w:tc>
      </w:tr>
      <w:tr w:rsidTr="00ED5A18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>Sinalização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Pintura de faixas de pedestres, instalação/manutenção de semáforos, placas viárias e radares em Mogi Mirim.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Obras gerais de pavimentação, recapeamento asfáltico ou tapa-buracos sem vínculo direto com sinalização.</w:t>
            </w:r>
          </w:p>
        </w:tc>
      </w:tr>
      <w:tr w:rsidTr="00ED5A18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>Engenharia de Tráfego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Estudos de fluxo viário, softwares de gestão do trânsito urbano, projetos de geometria de cruzamentos.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Obras de infraestrutura urbana geral, praças, edifícios públicos ou zeladoria urbana não voltadas ao tráfego.</w:t>
            </w:r>
          </w:p>
        </w:tc>
      </w:tr>
      <w:tr w:rsidTr="00ED5A18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>Fiscalização e Policiamento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Aquisição e manutenção de viaturas do trânsito, fardamento, bafômetros, equipamentos e treinamento de agentes.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Pagamento de folha salarial geral da Prefeitura ou servidores administrativos sem atuação direta no trânsito.</w:t>
            </w:r>
          </w:p>
        </w:tc>
      </w:tr>
      <w:tr w:rsidTr="00ED5A18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b/>
                <w:bCs/>
                <w:sz w:val="24"/>
                <w:szCs w:val="24"/>
              </w:rPr>
              <w:t>Educação de Trânsito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Campanhas educativas nas escolas municipais, materiais didáticos, ações do "Maio Amarelo" e conscientização.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D5A18" w:rsidRPr="00ED5A18" w:rsidP="00ED5A18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5A18">
              <w:rPr>
                <w:rFonts w:ascii="Arial" w:hAnsi="Arial" w:cs="Arial"/>
                <w:sz w:val="24"/>
                <w:szCs w:val="24"/>
              </w:rPr>
              <w:t>Propaganda ou publicidade institucional destinada à promoção de atos, programas ou obras da gestão pública.</w:t>
            </w:r>
          </w:p>
        </w:tc>
      </w:tr>
    </w:tbl>
    <w:p w:rsidR="00ED5A18" w:rsidP="00ED5A18">
      <w:pPr>
        <w:suppressAutoHyphens w:val="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ED5A18" w:rsidP="00ED5A18">
      <w:pPr>
        <w:suppressAutoHyphens w:val="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D5A18">
      <w:pPr>
        <w:suppressAutoHyphens w:val="0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4. Conclusão</w:t>
      </w: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Desta forma, o presente Projeto de Lei não cria encargos desproporcionais ao Poder Executivo, mas estabelece uma ferramenta indispensável de governança, </w:t>
      </w:r>
      <w:r w:rsidRPr="00ED5A18">
        <w:rPr>
          <w:rFonts w:ascii="Arial" w:hAnsi="Arial" w:cs="Arial"/>
          <w:i/>
          <w:iCs/>
          <w:sz w:val="24"/>
          <w:szCs w:val="24"/>
        </w:rPr>
        <w:t>accountability</w:t>
      </w:r>
      <w:r w:rsidRPr="00ED5A18">
        <w:rPr>
          <w:rFonts w:ascii="Arial" w:hAnsi="Arial" w:cs="Arial"/>
          <w:sz w:val="24"/>
          <w:szCs w:val="24"/>
        </w:rPr>
        <w:t xml:space="preserve"> e cidadania para a população de Mogi Mirim. </w:t>
      </w:r>
    </w:p>
    <w:p w:rsidR="00ED5A18" w:rsidRP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</w:p>
    <w:p w:rsidR="00ED5A18" w:rsidRPr="00ED5A18" w:rsidP="00ED5A18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sz w:val="24"/>
          <w:szCs w:val="24"/>
        </w:rPr>
        <w:t xml:space="preserve">Diante do exposto e do irrestrito respaldo constitucional, solicito o valioso apoio dos nobres pares para a discussão, apreciação e aprovação desta matéria. </w:t>
      </w:r>
    </w:p>
    <w:p w:rsidR="00ED5A18" w:rsidP="00ED5A1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ED5A18" w:rsidRPr="00ED5A18" w:rsidP="00ED5A18">
      <w:pPr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58CB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:rsidR="00EE58CB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58CB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58CB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EE58CB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58C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58CB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EE58CB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58CB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447940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81421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EE58CB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EE58C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E58C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58C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58CB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EE58CB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58CB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125521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98405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EE58CB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EE58C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E58C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4AF9687D"/>
    <w:multiLevelType w:val="multilevel"/>
    <w:tmpl w:val="9F2A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5A55D7"/>
    <w:multiLevelType w:val="multilevel"/>
    <w:tmpl w:val="D3BA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1E2EB9"/>
    <w:multiLevelType w:val="multilevel"/>
    <w:tmpl w:val="59DE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2228F3"/>
    <w:rsid w:val="00481999"/>
    <w:rsid w:val="005D7447"/>
    <w:rsid w:val="005E0BA1"/>
    <w:rsid w:val="005F33DD"/>
    <w:rsid w:val="007347E0"/>
    <w:rsid w:val="00856D71"/>
    <w:rsid w:val="008A5ED1"/>
    <w:rsid w:val="008D7A5B"/>
    <w:rsid w:val="00926A3F"/>
    <w:rsid w:val="00995FF7"/>
    <w:rsid w:val="009E0A89"/>
    <w:rsid w:val="009E4CA4"/>
    <w:rsid w:val="00A0239F"/>
    <w:rsid w:val="00B067D1"/>
    <w:rsid w:val="00B51FCE"/>
    <w:rsid w:val="00C255B5"/>
    <w:rsid w:val="00C534FC"/>
    <w:rsid w:val="00D078F8"/>
    <w:rsid w:val="00D549D2"/>
    <w:rsid w:val="00D72A58"/>
    <w:rsid w:val="00ED5A18"/>
    <w:rsid w:val="00EE41BA"/>
    <w:rsid w:val="00EE58CB"/>
    <w:rsid w:val="00F46A0A"/>
    <w:rsid w:val="00F50CCE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ED5A1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ED5A1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8A5ED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8A5ED1"/>
    <w:rPr>
      <w:color w:val="954F72" w:themeColor="followedHyperlink"/>
      <w:u w:val="single"/>
    </w:rPr>
  </w:style>
  <w:style w:type="character" w:customStyle="1" w:styleId="Ttulo2Char">
    <w:name w:val="Título 2 Char"/>
    <w:basedOn w:val="DefaultParagraphFont"/>
    <w:link w:val="Heading2"/>
    <w:uiPriority w:val="9"/>
    <w:rsid w:val="00ED5A18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ED5A18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ED5A18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D5A18"/>
    <w:rPr>
      <w:b/>
      <w:bCs/>
    </w:rPr>
  </w:style>
  <w:style w:type="paragraph" w:styleId="ListParagraph">
    <w:name w:val="List Paragraph"/>
    <w:basedOn w:val="Normal"/>
    <w:uiPriority w:val="34"/>
    <w:qFormat/>
    <w:rsid w:val="00ED5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936B-BB85-430C-8095-3D875C30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1356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Robertinho2</cp:lastModifiedBy>
  <cp:revision>7</cp:revision>
  <cp:lastPrinted>2026-07-30T13:21:05Z</cp:lastPrinted>
  <dcterms:created xsi:type="dcterms:W3CDTF">2024-05-10T12:58:00Z</dcterms:created>
  <dcterms:modified xsi:type="dcterms:W3CDTF">2026-07-30T13:17:00Z</dcterms:modified>
  <dc:language>pt-BR</dc:language>
</cp:coreProperties>
</file>