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  <w:bookmarkStart w:id="0" w:name="_GoBack"/>
      <w:bookmarkEnd w:id="0"/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512BC1F2">
      <w:pPr>
        <w:pStyle w:val="NormalWeb"/>
        <w:spacing w:line="360" w:lineRule="auto"/>
      </w:pPr>
      <w:r>
        <w:rPr>
          <w:rStyle w:val="Strong"/>
        </w:rPr>
        <w:t>SUBSTITUTIVO N°1 AO PROJETO DE LEI Nº 70</w:t>
      </w:r>
      <w:r w:rsidR="002913BB">
        <w:rPr>
          <w:rStyle w:val="Strong"/>
        </w:rPr>
        <w:t xml:space="preserve"> DE 2026</w:t>
      </w:r>
      <w:r>
        <w:rPr>
          <w:rStyle w:val="Strong"/>
        </w:rPr>
        <w:t xml:space="preserve"> – VEREADOR ERNANI LUIZ DONATTI GRAGNANELLO</w:t>
      </w:r>
      <w:r w:rsidR="00CF2052">
        <w:rPr>
          <w:rStyle w:val="Strong"/>
        </w:rPr>
        <w:t xml:space="preserve">. </w:t>
      </w:r>
    </w:p>
    <w:p w:rsidR="00CF2052" w:rsidRPr="002514DD" w:rsidP="003D6D21" w14:paraId="6DBD1393" w14:textId="7256514B">
      <w:pPr>
        <w:pStyle w:val="NormalWeb"/>
        <w:spacing w:line="360" w:lineRule="auto"/>
        <w:rPr>
          <w:i/>
        </w:rPr>
      </w:pPr>
      <w:r w:rsidRPr="002514DD">
        <w:rPr>
          <w:i/>
        </w:rPr>
        <w:t xml:space="preserve"> “Altera e acrescenta dispositivos à Lei Municipal nº 6.392, de 17 de dezembro de 2021, que dispõe sobre a vedação à nomeação para cargos e funções públicas de pessoas condenadas nos casos que especifica. ”</w:t>
      </w:r>
    </w:p>
    <w:p w:rsidR="00F74441" w:rsidRPr="002A0A87" w:rsidP="0084151F" w14:paraId="255CBB13" w14:textId="4030FF4E">
      <w:pPr>
        <w:pStyle w:val="NormalWeb"/>
        <w:spacing w:line="360" w:lineRule="auto"/>
      </w:pPr>
      <w:r w:rsidRPr="002A0A87">
        <w:rPr>
          <w:rStyle w:val="Strong"/>
        </w:rPr>
        <w:t>RELATOR:</w:t>
      </w:r>
      <w:r w:rsidR="0018368F">
        <w:rPr>
          <w:rStyle w:val="Strong"/>
        </w:rPr>
        <w:t xml:space="preserve"> VEREADOR WILIANS MENDES DE OLIVEIRA</w:t>
      </w:r>
      <w:r w:rsidR="00CF2052">
        <w:rPr>
          <w:rStyle w:val="Strong"/>
        </w:rPr>
        <w:t>.</w:t>
      </w:r>
      <w: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2514DD" w:rsidRPr="002514DD" w:rsidP="009729E1" w14:paraId="321E6046" w14:textId="77777777">
      <w:pPr>
        <w:pStyle w:val="NormalWeb"/>
        <w:spacing w:line="360" w:lineRule="auto"/>
        <w:ind w:firstLine="720"/>
        <w:jc w:val="both"/>
        <w:rPr>
          <w:b/>
        </w:rPr>
      </w:pPr>
      <w:r w:rsidRPr="002A0A87">
        <w:tab/>
      </w:r>
      <w:r w:rsidR="00CF2052">
        <w:t>O</w:t>
      </w:r>
      <w:r>
        <w:t xml:space="preserve"> Substitutivo nº1 ao</w:t>
      </w:r>
      <w:r w:rsidR="00CF2052">
        <w:t xml:space="preserve"> Projeto de Lei nº 7</w:t>
      </w:r>
      <w:r>
        <w:t xml:space="preserve">0, de 2026, de autoria do Nobre Vereador Ernani Luiz Donatti </w:t>
      </w:r>
      <w:r>
        <w:t>Gragnanello</w:t>
      </w:r>
      <w:r w:rsidR="00CF2052">
        <w:t>,</w:t>
      </w:r>
      <w:r>
        <w:t xml:space="preserve"> objetiva </w:t>
      </w:r>
      <w:r w:rsidRPr="002514DD">
        <w:rPr>
          <w:b/>
        </w:rPr>
        <w:t xml:space="preserve">alterar e acrescer dispositivos à Lei Municipal nº 6.392/2021. O intuito da proposição é adequar formalmente a técnica de alteração legislativa e aperfeiçoar o rol e o procedimento de vedações à nomeação, contratação ou investidura em cargos efetivos, empregos públicos, cargos em comissão, funções de confiança ou contratações temporárias, no âmbito dos Poderes Executivo e Legislativo de Mogi Mirim, para pessoas com condenação criminal transitada em julgado por crimes de elevada gravidade e incompatibilidade ética com a função pública. </w:t>
      </w:r>
    </w:p>
    <w:p w:rsidR="002514DD" w:rsidP="009729E1" w14:paraId="526031A6" w14:textId="77777777">
      <w:pPr>
        <w:pStyle w:val="NormalWeb"/>
        <w:spacing w:line="360" w:lineRule="auto"/>
        <w:ind w:firstLine="720"/>
        <w:jc w:val="both"/>
      </w:pPr>
      <w:r>
        <w:t xml:space="preserve">A propositura encontra-se estruturada em </w:t>
      </w:r>
      <w:r>
        <w:rPr>
          <w:b/>
          <w:bCs/>
        </w:rPr>
        <w:t>3 (três) artigos principais</w:t>
      </w:r>
      <w:r>
        <w:t xml:space="preserve">, os quais alteram e acrescem dispositivos à Lei Municipal nº 6.392/2021, organizados nos seguintes termos: </w:t>
      </w:r>
    </w:p>
    <w:p w:rsidR="002514DD" w:rsidP="009729E1" w14:paraId="6FBFB8BD" w14:textId="5E8CFF21">
      <w:pPr>
        <w:pStyle w:val="NormalWeb"/>
        <w:spacing w:line="360" w:lineRule="auto"/>
        <w:ind w:firstLine="720"/>
        <w:jc w:val="both"/>
      </w:pPr>
      <w:r w:rsidRPr="009729E1">
        <w:rPr>
          <w:b/>
          <w:bCs/>
        </w:rPr>
        <w:t xml:space="preserve">Artigo 1º (Alteração dos </w:t>
      </w:r>
      <w:r w:rsidRPr="009729E1">
        <w:rPr>
          <w:b/>
          <w:bCs/>
        </w:rPr>
        <w:t>Arts</w:t>
      </w:r>
      <w:r w:rsidRPr="009729E1">
        <w:rPr>
          <w:b/>
          <w:bCs/>
        </w:rPr>
        <w:t>. 1º e 2º da Lei nº 6.392/2021):Artigo 1º, incisos I a VIII:</w:t>
      </w:r>
      <w:r>
        <w:t xml:space="preserve"> Estabelece o rol taxativo de condenações impeditivas transitadas em julgado, contemplando: (I) violência doméstica e familiar contra a mulher (Lei Maria da Penha - Lei nº 11.340/2006) e feminicídio; (II) crimes contra crianças e adolescentes (Código Penal e ECA - Lei nº 8.069/1990); (III) crimes contra a pessoa idosa (Código Penal e Estatuto do Idoso - Lei nº 10.741/2003); (IV) crimes resultantes de preconceito de raça ou de cor (Lei de Racismo - Lei </w:t>
      </w:r>
      <w:r>
        <w:t xml:space="preserve">nº 7.716/1989); (V) crimes contra a dignidade sexual (Título VI do Código Penal); (VI) crimes hediondos (Lei nº 8.072/1990); (VII) crime de tortura (Lei nº 9.455/1997); e (VIII) maus-tratos aos animais (Art. 32 da Lei nº 9.605/1998). </w:t>
      </w:r>
      <w:r>
        <w:rPr>
          <w:b/>
          <w:bCs/>
        </w:rPr>
        <w:t>Artigo 2º e §§ 1º a 3º:</w:t>
      </w:r>
      <w:r>
        <w:t xml:space="preserve"> Disciplina o marco temporal do impedimento (início com o trânsito em julgado até a extinção da punibilidade, perdurando por mais 5 anos após esta, ressalvada reabilitação judicial ou afastamento legal); prevê que para cargos efetivos e empregos públicos a verificação será requisito de investidura na posse/contratação (não impedindo a participação no concurso); fixa a exigência de processo administrativo com contraditório e ampla defesa para ocupantes de cargos já investidos; e estabelece a anulação do ato administrativo em caso de descumprimento. </w:t>
      </w:r>
    </w:p>
    <w:p w:rsidR="002514DD" w:rsidP="009729E1" w14:paraId="227D61AE" w14:textId="386F2438">
      <w:pPr>
        <w:pStyle w:val="NormalWeb"/>
        <w:spacing w:line="360" w:lineRule="auto"/>
        <w:ind w:firstLine="720"/>
        <w:jc w:val="both"/>
      </w:pPr>
      <w:r w:rsidRPr="009729E1">
        <w:rPr>
          <w:b/>
          <w:bCs/>
        </w:rPr>
        <w:t xml:space="preserve">Artigo 2º (Acréscimo dos </w:t>
      </w:r>
      <w:r w:rsidRPr="009729E1">
        <w:rPr>
          <w:b/>
          <w:bCs/>
        </w:rPr>
        <w:t>Arts</w:t>
      </w:r>
      <w:r w:rsidRPr="009729E1">
        <w:rPr>
          <w:b/>
          <w:bCs/>
        </w:rPr>
        <w:t>. 2º-A a 2º-F à Lei nº 6.392/2021)</w:t>
      </w:r>
      <w:r w:rsidR="009729E1">
        <w:rPr>
          <w:b/>
          <w:bCs/>
        </w:rPr>
        <w:t xml:space="preserve"> </w:t>
      </w:r>
      <w:r w:rsidRPr="009729E1">
        <w:rPr>
          <w:b/>
          <w:bCs/>
        </w:rPr>
        <w:t>Artigo 2º-A e §§ 1º a 3º:</w:t>
      </w:r>
      <w:r>
        <w:t xml:space="preserve"> Regula os meios formais de comprovação (certidões, documentos oficiais e declaração formal); estabelece que investigações, inquéritos ou ações penais sem decisão definitiva </w:t>
      </w:r>
      <w:r w:rsidRPr="009729E1">
        <w:rPr>
          <w:b/>
          <w:bCs/>
        </w:rPr>
        <w:t>não</w:t>
      </w:r>
      <w:r>
        <w:t xml:space="preserve"> impedem a nomeação; prevê a comprovação do contexto da vítima por certidão/decisão judicial; e garante a solicitação de esclarecimentos em caso de dúvida objetiva. </w:t>
      </w:r>
      <w:r>
        <w:rPr>
          <w:b/>
          <w:bCs/>
        </w:rPr>
        <w:t>Artigo 2º-B e parágrafo único:</w:t>
      </w:r>
      <w:r>
        <w:t xml:space="preserve"> Autoriza a previsão expressa dos impedimentos nos editares de concursos públicos e processos seletivos como requisitos de investidura. </w:t>
      </w:r>
      <w:r>
        <w:rPr>
          <w:b/>
          <w:bCs/>
        </w:rPr>
        <w:t>Artigo 2º-C:</w:t>
      </w:r>
      <w:r>
        <w:t xml:space="preserve"> Preconiza que a omissão dolosa ou falsidade prestada pelo interessado ensejará anulação da nomeação, sem prejuízo de apuração administrativa, civil e penal. </w:t>
      </w:r>
      <w:r>
        <w:rPr>
          <w:b/>
          <w:bCs/>
        </w:rPr>
        <w:t>Artigo 2º-D:</w:t>
      </w:r>
      <w:r>
        <w:t xml:space="preserve"> Autoriza a comunicação do descumprimento aos órgãos de controle (Poder Legislativo, Chefe do Executivo ou Ministério Público). </w:t>
      </w:r>
      <w:r>
        <w:rPr>
          <w:b/>
          <w:bCs/>
        </w:rPr>
        <w:t>Artigo 2º-E:</w:t>
      </w:r>
      <w:r>
        <w:t xml:space="preserve"> Vincula obrigatoriamente o tratamento dos dados pessoais aos ditames da Lei Geral de Proteção de Dados Pessoais (LGPD - Lei Federal nº 13.709/2018), assegurando finalidade pública, necessidade, proporcionalidade e segurança da informação. </w:t>
      </w:r>
      <w:r>
        <w:rPr>
          <w:b/>
          <w:bCs/>
        </w:rPr>
        <w:t>Artigo 2º-F:</w:t>
      </w:r>
      <w:r>
        <w:t xml:space="preserve"> Determina que as vedações </w:t>
      </w:r>
      <w:r>
        <w:t>aplicam-se</w:t>
      </w:r>
      <w:r>
        <w:t xml:space="preserve"> sem prejuízo das demais regras de moralidade e idoneidade locais, inclusive a Lei Municipal nº 6.927/2025. </w:t>
      </w:r>
    </w:p>
    <w:p w:rsidR="002514DD" w:rsidP="009729E1" w14:paraId="3F190C87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>Artigo 3º:</w:t>
      </w:r>
      <w:r>
        <w:t xml:space="preserve"> Cláusula de vigência na data de sua publicação. </w:t>
      </w:r>
    </w:p>
    <w:p w:rsidR="002514DD" w:rsidP="009729E1" w14:paraId="3F027959" w14:textId="77777777">
      <w:pPr>
        <w:pStyle w:val="Heading3"/>
        <w:spacing w:line="360" w:lineRule="auto"/>
        <w:ind w:firstLine="720"/>
        <w:jc w:val="both"/>
      </w:pPr>
      <w:r>
        <w:t>Da Justificativa do Projeto</w:t>
      </w:r>
    </w:p>
    <w:p w:rsidR="002514DD" w:rsidP="009729E1" w14:paraId="5CF63128" w14:textId="77777777">
      <w:pPr>
        <w:pStyle w:val="NormalWeb"/>
        <w:spacing w:line="360" w:lineRule="auto"/>
        <w:ind w:firstLine="720"/>
        <w:jc w:val="both"/>
      </w:pPr>
      <w:r>
        <w:t xml:space="preserve">Na mensagem justificativa que acompanha a propositura, o autor destaca que a atualização legislativa visa conferir maior segurança jurídica, clareza e aperfeiçoamento formal, adequando o texto aos regramentos da técnica legislativa e evitando interpretações extensivas ou inseguras. Salienta dados alarmantes de violência contra a mulher e minorias extraídos do </w:t>
      </w:r>
      <w:r>
        <w:t xml:space="preserve">19º Anuário Brasileiro de Segurança Pública, do cenário paulista e dos registros municipais de Mogi Mirim para fundamentar a urgência ética da medida. </w:t>
      </w:r>
    </w:p>
    <w:p w:rsidR="002514DD" w:rsidP="009729E1" w14:paraId="6BC8C5F6" w14:textId="48C49841">
      <w:pPr>
        <w:pStyle w:val="NormalWeb"/>
        <w:spacing w:line="360" w:lineRule="auto"/>
        <w:ind w:firstLine="720"/>
        <w:jc w:val="both"/>
      </w:pPr>
      <w:r>
        <w:t xml:space="preserve">Ademais, aponta que o projeto não </w:t>
      </w:r>
      <w:r w:rsidR="009729E1">
        <w:t>interfere</w:t>
      </w:r>
      <w:r>
        <w:t xml:space="preserve"> na Lei Municipal nº 6.927/2025, atuando de forma complementar. Fundamenta a constitucionalidade na jurisprudência consolidada do Supremo Tribunal Federal (STF - Tema 917 e RE 1.273.372/SP) e do Tribunal de Justiça do Estado de São Paulo (TJ-SP), os quais reconhecem a legitimidade da iniciativa parlamentar ao fixar requisitos éticos gerais de moralidade administrativa (Art. 37, </w:t>
      </w:r>
      <w:r>
        <w:rPr>
          <w:i/>
          <w:iCs/>
        </w:rPr>
        <w:t>caput</w:t>
      </w:r>
      <w:r>
        <w:t>, CF) para o ingresso no serviço público. Por fim, reforça a conformidade com a vedação a penas de caráter perpétuo (Art. 5º, XLVII, 'b', CF), a proteção de dados (LGPD) e compromissos internacionais de Direitos Humanos (Convenção de Guatemala / Decreto nº 10.932/2022).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DB224C" w:rsidP="009729E1" w14:paraId="0AF7E236" w14:textId="3CD29544">
      <w:pPr>
        <w:pStyle w:val="NormalWeb"/>
        <w:spacing w:line="360" w:lineRule="auto"/>
        <w:ind w:firstLine="720"/>
        <w:jc w:val="both"/>
      </w:pPr>
      <w:r>
        <w:t xml:space="preserve">Analisando a proposição sob a ótica da competência desta Comissão de Justiça e Redação, verifica-se que </w:t>
      </w:r>
      <w:r w:rsidR="009729E1">
        <w:rPr>
          <w:b/>
        </w:rPr>
        <w:t>o Projeto de Lei nº 70</w:t>
      </w:r>
      <w:r w:rsidRPr="00DB224C">
        <w:rPr>
          <w:b/>
        </w:rPr>
        <w:t>/2026</w:t>
      </w:r>
      <w:r>
        <w:t xml:space="preserve"> preenche plenamente os requisitos formais e materiais de constitucionalidade e legalidade. </w:t>
      </w:r>
    </w:p>
    <w:p w:rsidR="009729E1" w:rsidP="009729E1" w14:paraId="2A3F3F27" w14:textId="7601383F">
      <w:pPr>
        <w:pStyle w:val="NormalWeb"/>
        <w:spacing w:line="360" w:lineRule="auto"/>
        <w:ind w:firstLine="720"/>
        <w:jc w:val="both"/>
      </w:pPr>
      <w:r>
        <w:t xml:space="preserve">  </w:t>
      </w:r>
      <w:r>
        <w:rPr>
          <w:b/>
          <w:bCs/>
        </w:rPr>
        <w:t>Competência Legislativa e Interesse Local:</w:t>
      </w:r>
      <w:r>
        <w:t xml:space="preserve"> A matéria visa resguardar a moralidade e a probidade na Administração Pública Municipal. Trata-se de competência expressa do Município para legislar sobre assuntos de interesse local e suplementar a legislação federal e estadual no que couber, amparada pelo Artigo 30, incisos I e II, e Artigo 37, </w:t>
      </w:r>
      <w:r>
        <w:rPr>
          <w:i/>
          <w:iCs/>
        </w:rPr>
        <w:t>caput</w:t>
      </w:r>
      <w:r>
        <w:t xml:space="preserve">, da Constituição Federal, bem como pelo Artigo 48 da Lei Orgânica do Município de Mogi Mirim. </w:t>
      </w:r>
    </w:p>
    <w:p w:rsidR="009729E1" w:rsidP="009729E1" w14:paraId="57668353" w14:textId="27D7B1F0">
      <w:pPr>
        <w:pStyle w:val="NormalWeb"/>
        <w:spacing w:line="360" w:lineRule="auto"/>
        <w:ind w:firstLine="720"/>
        <w:jc w:val="both"/>
      </w:pPr>
      <w:r>
        <w:t xml:space="preserve">  </w:t>
      </w:r>
      <w:r>
        <w:rPr>
          <w:b/>
          <w:bCs/>
        </w:rPr>
        <w:t>Iniciativa Parlamentar e Ausência de Vício de Proposição:</w:t>
      </w:r>
      <w:r>
        <w:t xml:space="preserve"> A propositura não cria cargos, órgãos ou despesas compulsórias diretas, tampouco altera o estatuto ou regime jurídico funcional dos servidores públicos. Limita-se a fixar condições éticas e genéricas de aptidão e idoneidade moral para a investidura pública. Conforme pacificado pelo STF (RE 1.273.372/SP e Tema 917 da Repercussão Geral), leis de iniciativa parlamentar que concretizam os princípios da moralidade administrativa para acesso a cargos públicos não invadem a competência privativa do Chefe do Executivo. Tal posicionamento é corroborado pelo Parecer Técnico-</w:t>
      </w:r>
      <w:r>
        <w:t>Jurídico da UVESP e por iterativa jurisprudência do TJ-SP em casos análogos (</w:t>
      </w:r>
      <w:r>
        <w:t>ex</w:t>
      </w:r>
      <w:r>
        <w:t xml:space="preserve">: Órgão Especial do TJ-SP, ADI nº 2018103-55.2022.8.26.0000 e ADI nº 2243054-61.2024.8.26.0000). </w:t>
      </w:r>
    </w:p>
    <w:p w:rsidR="009729E1" w:rsidP="009729E1" w14:paraId="12C8DDEC" w14:textId="65E3262D">
      <w:pPr>
        <w:pStyle w:val="NormalWeb"/>
        <w:spacing w:line="360" w:lineRule="auto"/>
        <w:ind w:firstLine="720"/>
        <w:jc w:val="both"/>
      </w:pPr>
      <w:r>
        <w:t xml:space="preserve">  </w:t>
      </w:r>
      <w:r>
        <w:rPr>
          <w:b/>
          <w:bCs/>
        </w:rPr>
        <w:t>Respeito à Presunção de Inocência e Não Perpetuidade da Pena:</w:t>
      </w:r>
      <w:r>
        <w:t xml:space="preserve"> O texto atende rigorosamente aos parâmetros fixados pelo STF (ADI 2.893/PE e RE 1.563.184/DF) ao exigir expressamente o </w:t>
      </w:r>
      <w:r>
        <w:rPr>
          <w:b/>
          <w:bCs/>
        </w:rPr>
        <w:t>trânsito em julgado</w:t>
      </w:r>
      <w:r>
        <w:t xml:space="preserve"> da condenação penal para a incidência da vedação (afastando restrições baseadas em meros inquéritos ou ações em andamento) e ao delimitar o prazo temporal residual do impedimento a 5 (cinco) anos após a extinção da punibilidade, evitando qualquer sanção de caráter perpétuo (Art. 5º, XLVII, 'b', da CF). </w:t>
      </w:r>
    </w:p>
    <w:p w:rsidR="009729E1" w:rsidP="009729E1" w14:paraId="3EF6673F" w14:textId="4DE85A75">
      <w:pPr>
        <w:pStyle w:val="NormalWeb"/>
        <w:spacing w:line="360" w:lineRule="auto"/>
        <w:ind w:firstLine="720"/>
        <w:jc w:val="both"/>
      </w:pPr>
      <w:r>
        <w:t xml:space="preserve">  </w:t>
      </w:r>
      <w:r>
        <w:rPr>
          <w:b/>
          <w:bCs/>
        </w:rPr>
        <w:t>Devido Processo Legal, Contraditório e Proteção de Dados (LGPD):</w:t>
      </w:r>
      <w:r>
        <w:t xml:space="preserve"> A inclusão do Art. 2º-E garante a conformidade do tratamento das informações com a Lei Geral de Proteção de Dados Pessoais (Lei Federal nº 13.709/2018), assegurando a finalidade pública e a proporcionalidade na coleta de certidões. Ademais, o projeto prevê expressamente o contraditório, a ampla defesa e o devido processo administrativo nos casos de verificação de impedimento para pessoas já investidas ou em fase de posse. </w:t>
      </w:r>
    </w:p>
    <w:p w:rsidR="009729E1" w:rsidP="00DB224C" w14:paraId="75B5337B" w14:textId="1809849B">
      <w:pPr>
        <w:pStyle w:val="NormalWeb"/>
        <w:spacing w:line="360" w:lineRule="auto"/>
        <w:ind w:firstLine="720"/>
        <w:jc w:val="both"/>
        <w:rPr>
          <w:b/>
          <w:bCs/>
        </w:rPr>
      </w:pPr>
      <w:r>
        <w:t xml:space="preserve">  </w:t>
      </w:r>
      <w:r>
        <w:rPr>
          <w:b/>
          <w:bCs/>
        </w:rPr>
        <w:t>Aprimoramento da Técnica Legislativa (LC nº 95/1998 e Decreto nº 12.002/2024):</w:t>
      </w:r>
      <w:r>
        <w:t xml:space="preserve"> A apresentação do </w:t>
      </w:r>
      <w:r>
        <w:rPr>
          <w:b/>
          <w:bCs/>
        </w:rPr>
        <w:t>Substitutivo nº 1</w:t>
      </w:r>
      <w:r>
        <w:t xml:space="preserve"> corrigiu adequadamente a técnica de alteração normatizada. Em vez de renumerar ou substituir artigos existentes da Lei nº 6.392/2021 (o que contraria a Lei Complementar Federal nº 95/1998), o Substitutivo manteve o texto dos artigos originais e utilizou a acréscimo com hífen e letras maiúsculas (</w:t>
      </w:r>
      <w:r>
        <w:t>Arts</w:t>
      </w:r>
      <w:r>
        <w:t xml:space="preserve">. 2º-A a 2º-F), alinhando a proposição à melhor técnica legislativa federal. 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84151F" w:rsidP="0084151F" w14:paraId="36B67947" w14:textId="77777777">
      <w:pPr>
        <w:pStyle w:val="NormalWeb"/>
        <w:spacing w:line="360" w:lineRule="auto"/>
        <w:ind w:firstLine="720"/>
        <w:jc w:val="both"/>
      </w:pPr>
      <w:r w:rsidRPr="002A0A87">
        <w:rPr>
          <w:b/>
        </w:rPr>
        <w:tab/>
      </w:r>
      <w:r>
        <w:t xml:space="preserve">Sob o prisma da oportunidade e do interesse público, a propositura reveste-se de incontestável mérito social e administrativo para a coletividade de Mogi Mirim. </w:t>
      </w:r>
    </w:p>
    <w:p w:rsidR="0084151F" w:rsidP="0084151F" w14:paraId="11576094" w14:textId="77777777">
      <w:pPr>
        <w:pStyle w:val="NormalWeb"/>
        <w:spacing w:line="360" w:lineRule="auto"/>
        <w:ind w:firstLine="720"/>
        <w:jc w:val="both"/>
      </w:pPr>
      <w:r>
        <w:t xml:space="preserve">A aprovação do Substitutivo nº 1 ao PL nº 70/2026 consolida uma barreira ética indispensável contra a violência e a grave discriminação, impedindo que cidadãos condenados por feminicídio, violência doméstica, abuso de crianças, idosos, racismo, tortura e crimes hediondos venham a gerir a coisa pública ou prestar atendimento à população vulnerável do Município. </w:t>
      </w:r>
    </w:p>
    <w:p w:rsidR="0084151F" w:rsidP="0084151F" w14:paraId="6020C1B0" w14:textId="77777777">
      <w:pPr>
        <w:pStyle w:val="NormalWeb"/>
        <w:spacing w:line="360" w:lineRule="auto"/>
        <w:ind w:firstLine="720"/>
        <w:jc w:val="both"/>
      </w:pPr>
      <w:r>
        <w:t xml:space="preserve">Ademais, conforme anotado pelo parecer da UVESP, a proposição traz reduzido impacto orçamentário fiscal, visto que não gera despesas diretas de pessoal, traduzindo-se apenas na adequação de procedimentos administrativos e rotinas organizacionais de recursos humanos, conferindo transparência, previsibilidade e segurança jurídica para a Administração e para os administrados. </w:t>
      </w:r>
    </w:p>
    <w:p w:rsidR="00F74441" w:rsidRPr="002A0A87" w:rsidP="0084151F" w14:paraId="38BA90DC" w14:textId="13676004">
      <w:pPr>
        <w:pStyle w:val="NormalWeb"/>
        <w:spacing w:line="360" w:lineRule="auto"/>
        <w:ind w:firstLine="720"/>
        <w:jc w:val="both"/>
      </w:pPr>
      <w:r>
        <w:t xml:space="preserve">Portanto, manifestam-se presentes os requisitos de conveniência, oportunidade e indiscutível interesse público. </w:t>
      </w: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7F53BE8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84151F" w14:paraId="0344C6BF" w14:textId="4C8F6EBC">
      <w:pPr>
        <w:pStyle w:val="NormalWeb"/>
        <w:spacing w:line="360" w:lineRule="auto"/>
        <w:ind w:firstLine="720"/>
        <w:jc w:val="both"/>
      </w:pPr>
      <w:r>
        <w:t xml:space="preserve">Considerando que o </w:t>
      </w:r>
      <w:r>
        <w:rPr>
          <w:b/>
          <w:bCs/>
        </w:rPr>
        <w:t>Substitutivo nº 1</w:t>
      </w:r>
      <w:r>
        <w:t xml:space="preserve">, apresentado pelo próprio autor, já corrigiu integralmente os aspectos de técnica legislativa, adequando a inserção dos novos dispositivos aos ditames da Lei Complementar Federal nº 95/1998, este Relator </w:t>
      </w:r>
      <w:r>
        <w:rPr>
          <w:b/>
          <w:bCs/>
        </w:rPr>
        <w:t>não</w:t>
      </w:r>
      <w:r>
        <w:t xml:space="preserve"> oferece novas emendas ou subemendas ao texto do Substitutivo.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4203E05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84151F" w14:paraId="214FFDEB" w14:textId="7FDB383D">
      <w:pPr>
        <w:pStyle w:val="NormalWeb"/>
        <w:spacing w:line="360" w:lineRule="auto"/>
        <w:jc w:val="both"/>
      </w:pPr>
      <w:r w:rsidRPr="002A0A87">
        <w:tab/>
        <w:t>A Comissão de Justiça e Redação</w:t>
      </w:r>
      <w:r w:rsidR="0084151F">
        <w:t>,</w:t>
      </w:r>
      <w:r w:rsidRPr="002A0A87">
        <w:t xml:space="preserve"> por unanimidade, </w:t>
      </w:r>
      <w:r w:rsidRPr="002A0A87">
        <w:rPr>
          <w:rStyle w:val="Strong"/>
        </w:rPr>
        <w:t>aprova</w:t>
      </w:r>
      <w:r w:rsidRPr="002A0A87">
        <w:t> o Pro</w:t>
      </w:r>
      <w:r w:rsidR="00C71E3E">
        <w:t xml:space="preserve">jeto de </w:t>
      </w:r>
      <w:r w:rsidR="0084151F">
        <w:t>Lei nº 70</w:t>
      </w:r>
      <w:r w:rsidR="0027340E">
        <w:t xml:space="preserve"> de 2026</w:t>
      </w:r>
      <w:r w:rsidRPr="002A0A87">
        <w:t>, </w:t>
      </w:r>
      <w:r w:rsidR="0084151F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  <w: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27340E" w:rsidRPr="002A0A87" w:rsidP="0027340E" w14:paraId="32DAC4E1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27340E" w:rsidRPr="002A0A87" w:rsidP="0027340E" w14:paraId="0DBFC11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Wilians Mendes de Oliveira</w:t>
      </w:r>
      <w:r w:rsidRPr="002A0A87">
        <w:t xml:space="preserve"> </w:t>
      </w:r>
      <w:r>
        <w:t>(Vice-Presidente</w:t>
      </w:r>
      <w:r w:rsidRPr="002A0A87">
        <w:t>)</w:t>
      </w:r>
    </w:p>
    <w:p w:rsidR="00F74441" w:rsidRPr="002A0A87" w:rsidP="00A45C3F" w14:paraId="64715406" w14:textId="1FDC3FA9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Márcio Evandro Ribeiro </w:t>
      </w:r>
      <w:r w:rsidRPr="002A0A87">
        <w:t>(Membro)</w:t>
      </w: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4406BB7A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C8098B">
        <w:rPr>
          <w:rStyle w:val="Strong"/>
        </w:rPr>
        <w:t>O RÓTTOLI”, em 18</w:t>
      </w:r>
      <w:r w:rsidR="00C71E3E">
        <w:rPr>
          <w:rStyle w:val="Strong"/>
        </w:rPr>
        <w:t xml:space="preserve"> de agosto</w:t>
      </w:r>
      <w:r w:rsidR="0027340E">
        <w:rPr>
          <w:rStyle w:val="Strong"/>
        </w:rPr>
        <w:t xml:space="preserve"> de 2026</w:t>
      </w:r>
      <w:r w:rsidRPr="002A0A87">
        <w:rPr>
          <w:rStyle w:val="Strong"/>
        </w:rPr>
        <w:t>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7E34DE79" w14:textId="7878D5D7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84151F" w:rsidP="0084151F" w14:paraId="2925FA6B" w14:textId="77777777">
      <w:pPr>
        <w:pStyle w:val="Heading3"/>
      </w:pPr>
      <w:r>
        <w:t>REFERÊNCIAS:</w:t>
      </w:r>
    </w:p>
    <w:p w:rsidR="0084151F" w:rsidP="0084151F" w14:paraId="31049B16" w14:textId="77777777">
      <w:pPr>
        <w:pStyle w:val="NormalWeb"/>
        <w:numPr>
          <w:ilvl w:val="0"/>
          <w:numId w:val="20"/>
        </w:numPr>
      </w:pPr>
      <w:r>
        <w:rPr>
          <w:b/>
          <w:bCs/>
        </w:rPr>
        <w:t>Constituição da República Federativa do Brasil de 1988:</w:t>
      </w:r>
      <w:r>
        <w:t xml:space="preserve"> Art. 2º (Princípio da Separação dos Poderes); Art. 5º, inciso XLVII, alínea 'b' (Vedação a penas de caráter perpétuo); Art. 30, incisos I e II (Competência legislativa municipal para assuntos de interesse local); Art. 37, </w:t>
      </w:r>
      <w:r>
        <w:rPr>
          <w:i/>
          <w:iCs/>
        </w:rPr>
        <w:t>caput</w:t>
      </w:r>
      <w:r>
        <w:t xml:space="preserve"> (Princípios da Administração Pública e Moralidade Administrativa). </w:t>
      </w:r>
    </w:p>
    <w:p w:rsidR="0084151F" w:rsidP="0084151F" w14:paraId="18BE6805" w14:textId="77777777">
      <w:pPr>
        <w:pStyle w:val="NormalWeb"/>
        <w:numPr>
          <w:ilvl w:val="0"/>
          <w:numId w:val="20"/>
        </w:numPr>
      </w:pPr>
      <w:r>
        <w:rPr>
          <w:b/>
          <w:bCs/>
        </w:rPr>
        <w:t>Lei Complementar Federal nº 95, de 26 de fevereiro de 1998:</w:t>
      </w:r>
      <w:r>
        <w:t xml:space="preserve"> Dispõe sobre a elaboração, a redação, a alteração e a consolidação das leis (regras para alteração e acréscimo de artigos em textos vigentes). </w:t>
      </w:r>
    </w:p>
    <w:p w:rsidR="0084151F" w:rsidP="0084151F" w14:paraId="5BA9572A" w14:textId="77777777">
      <w:pPr>
        <w:pStyle w:val="NormalWeb"/>
        <w:numPr>
          <w:ilvl w:val="0"/>
          <w:numId w:val="20"/>
        </w:numPr>
      </w:pPr>
      <w:r>
        <w:rPr>
          <w:b/>
          <w:bCs/>
        </w:rPr>
        <w:t>Decreto Federal nº 12.002, de 22 de abril de 2024:</w:t>
      </w:r>
      <w:r>
        <w:t xml:space="preserve"> Art. 14, parágrafo único (Regulamenta a redação, alteração e consolidação de atos normativos). </w:t>
      </w:r>
    </w:p>
    <w:p w:rsidR="0084151F" w:rsidP="0084151F" w14:paraId="0A81CDD0" w14:textId="77777777">
      <w:pPr>
        <w:pStyle w:val="NormalWeb"/>
        <w:numPr>
          <w:ilvl w:val="0"/>
          <w:numId w:val="20"/>
        </w:numPr>
      </w:pPr>
      <w:r>
        <w:rPr>
          <w:b/>
          <w:bCs/>
        </w:rPr>
        <w:t>Lei Federal nº 13.709, de 14 de agosto de 2018 (Lei Geral de Proteção de Dados Pessoais - LGPD):</w:t>
      </w:r>
      <w:r>
        <w:t xml:space="preserve"> Disposições sobre o tratamento de dados pessoais no setor público. </w:t>
      </w:r>
    </w:p>
    <w:p w:rsidR="0084151F" w:rsidP="0084151F" w14:paraId="30C15917" w14:textId="77777777">
      <w:pPr>
        <w:pStyle w:val="NormalWeb"/>
        <w:numPr>
          <w:ilvl w:val="0"/>
          <w:numId w:val="20"/>
        </w:numPr>
      </w:pPr>
      <w:r>
        <w:rPr>
          <w:b/>
          <w:bCs/>
        </w:rPr>
        <w:t>Lei Federal nº 11.340, de 7 de agosto de 2006 (Lei Maria da Penha); Lei nº 8.069/1990 (ECA); Lei nº 10.741/2003 (Estatuto do Idoso); Lei nº 7.716/1989 (Lei de Racismo); Lei nº 8.072/1990 (Crimes Hediondos); Lei nº 9.455/1997 (Tortura); Decreto nº 10.932/2022 (Convenção de Guatemala)</w:t>
      </w:r>
      <w:r>
        <w:t xml:space="preserve">. </w:t>
      </w:r>
    </w:p>
    <w:p w:rsidR="0084151F" w:rsidP="0084151F" w14:paraId="0483877F" w14:textId="77777777">
      <w:pPr>
        <w:pStyle w:val="NormalWeb"/>
        <w:numPr>
          <w:ilvl w:val="0"/>
          <w:numId w:val="20"/>
        </w:numPr>
      </w:pPr>
      <w:r>
        <w:rPr>
          <w:b/>
          <w:bCs/>
        </w:rPr>
        <w:t>Lei Orgânica do Município de Mogi Mirim:</w:t>
      </w:r>
      <w:r>
        <w:t xml:space="preserve"> Artigo 48 (Iniciativa das leis) e competências institucionais do Município. </w:t>
      </w:r>
    </w:p>
    <w:p w:rsidR="0084151F" w:rsidP="0084151F" w14:paraId="44F1D932" w14:textId="77777777">
      <w:pPr>
        <w:pStyle w:val="NormalWeb"/>
        <w:numPr>
          <w:ilvl w:val="0"/>
          <w:numId w:val="20"/>
        </w:numPr>
      </w:pPr>
      <w:r>
        <w:rPr>
          <w:b/>
          <w:bCs/>
        </w:rPr>
        <w:t>Regimento Interno da Câmara Municipal de Mogi Mirim (Resolução nº 276/2010):</w:t>
      </w:r>
      <w:r>
        <w:t xml:space="preserve"> Artigo 35 e correlatos (Competências da Comissão Permanente de Justiça e Redação). </w:t>
      </w:r>
    </w:p>
    <w:p w:rsidR="0084151F" w:rsidP="0084151F" w14:paraId="0D2626A3" w14:textId="77777777">
      <w:pPr>
        <w:pStyle w:val="NormalWeb"/>
        <w:numPr>
          <w:ilvl w:val="0"/>
          <w:numId w:val="20"/>
        </w:numPr>
      </w:pPr>
      <w:r>
        <w:rPr>
          <w:b/>
          <w:bCs/>
        </w:rPr>
        <w:t>Parecer Técnico-Jurídico UVESP (União dos Vereadores do Estado de São Paulo):</w:t>
      </w:r>
      <w:r>
        <w:t xml:space="preserve"> Análise jurídica favorável ao Projeto de Lei nº 70/2026 (Exame de constitucionalidade, iniciativa parlamentar, impacto orçamentário e moralidade administrativa - Emitido em 21/07/2026). </w:t>
      </w:r>
    </w:p>
    <w:p w:rsidR="0084151F" w:rsidP="0084151F" w14:paraId="0BA4FC08" w14:textId="77777777">
      <w:pPr>
        <w:pStyle w:val="NormalWeb"/>
        <w:numPr>
          <w:ilvl w:val="0"/>
          <w:numId w:val="20"/>
        </w:numPr>
      </w:pPr>
      <w:r>
        <w:rPr>
          <w:b/>
          <w:bCs/>
        </w:rPr>
        <w:t>Jurisprudência do STF e TJ-SP:</w:t>
      </w:r>
      <w:r>
        <w:t xml:space="preserve"> STF - RE 1.273.372/SP (Rel. Min. Edson </w:t>
      </w:r>
      <w:r>
        <w:t>Fachin</w:t>
      </w:r>
      <w:r>
        <w:t xml:space="preserve">); STF - Tema 917 da Repercussão Geral; STF - ADI 2.893/PE; STF - RE 1.563.184/DF; TJ-SP - ADI nº 2018103-55.2022.8.26.0000; TJ-SP - ADI nº 2243054-61.2024.8.26.0000. </w:t>
      </w:r>
    </w:p>
    <w:p w:rsidR="00640689" w:rsidP="00640689" w14:paraId="70726BC9" w14:textId="77777777">
      <w:pPr>
        <w:pStyle w:val="NormalWeb"/>
        <w:spacing w:before="0" w:beforeAutospacing="0" w:line="360" w:lineRule="auto"/>
        <w:ind w:left="720"/>
        <w:jc w:val="both"/>
      </w:pPr>
    </w:p>
    <w:p w:rsidR="00ED02F0" w:rsidP="00277763" w14:paraId="4F04F4F9" w14:textId="3F494CD9">
      <w:pPr>
        <w:pStyle w:val="NormalWeb"/>
        <w:spacing w:before="0" w:beforeAutospacing="0" w:line="360" w:lineRule="auto"/>
        <w:jc w:val="both"/>
      </w:pPr>
    </w:p>
    <w:p w:rsidR="00221E5E" w:rsidP="00277763" w14:paraId="76452EE4" w14:textId="77777777">
      <w:pPr>
        <w:pStyle w:val="NormalWeb"/>
        <w:spacing w:before="0" w:beforeAutospacing="0" w:line="360" w:lineRule="auto"/>
        <w:jc w:val="both"/>
      </w:pPr>
    </w:p>
    <w:p w:rsidR="00221E5E" w:rsidP="00277763" w14:paraId="5724DC62" w14:textId="77777777">
      <w:pPr>
        <w:pStyle w:val="NormalWeb"/>
        <w:spacing w:before="0" w:beforeAutospacing="0" w:line="360" w:lineRule="auto"/>
        <w:jc w:val="both"/>
      </w:pPr>
    </w:p>
    <w:p w:rsidR="00221E5E" w:rsidP="00277763" w14:paraId="3C2789AC" w14:textId="77777777">
      <w:pPr>
        <w:pStyle w:val="NormalWeb"/>
        <w:spacing w:before="0" w:beforeAutospacing="0" w:line="360" w:lineRule="auto"/>
        <w:jc w:val="both"/>
      </w:pPr>
    </w:p>
    <w:p w:rsidR="00221E5E" w:rsidP="00F13148" w14:paraId="5516DE1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2A0A87" w:rsidP="0084151F" w14:paraId="68DF435F" w14:textId="711AE260">
      <w:pPr>
        <w:pStyle w:val="NormalWeb"/>
        <w:spacing w:line="360" w:lineRule="auto"/>
        <w:rPr>
          <w:rFonts w:ascii="Palatino Linotype" w:hAnsi="Palatino Linotype" w:cs="Arial"/>
        </w:rPr>
      </w:pPr>
      <w:r w:rsidRPr="002A0A87">
        <w:rPr>
          <w:rFonts w:ascii="Palatino Linotype" w:hAnsi="Palatino Linotype" w:cs="Arial"/>
          <w:b/>
        </w:rPr>
        <w:t xml:space="preserve">PARECER DA COMISSÃO DE JUSTIÇA E </w:t>
      </w:r>
      <w:r w:rsidRPr="002A0A87" w:rsidR="00C71E3E">
        <w:rPr>
          <w:rFonts w:ascii="Palatino Linotype" w:hAnsi="Palatino Linotype" w:cs="Arial"/>
          <w:b/>
        </w:rPr>
        <w:t>REDAÇÃO</w:t>
      </w:r>
      <w:r w:rsidR="0084151F">
        <w:rPr>
          <w:rFonts w:ascii="Palatino Linotype" w:hAnsi="Palatino Linotype" w:cs="Arial"/>
          <w:b/>
        </w:rPr>
        <w:t>,</w:t>
      </w:r>
      <w:r w:rsidRPr="002A0A87">
        <w:rPr>
          <w:rFonts w:ascii="Palatino Linotype" w:hAnsi="Palatino Linotype" w:cs="Arial"/>
          <w:b/>
        </w:rPr>
        <w:t xml:space="preserve"> </w:t>
      </w:r>
      <w:r w:rsidR="00ED02F0">
        <w:rPr>
          <w:rFonts w:ascii="Palatino Linotype" w:hAnsi="Palatino Linotype" w:cs="Arial"/>
          <w:b/>
        </w:rPr>
        <w:t>AO PROJETO DE LEI</w:t>
      </w:r>
      <w:r w:rsidR="0084151F">
        <w:rPr>
          <w:rFonts w:ascii="Palatino Linotype" w:hAnsi="Palatino Linotype" w:cs="Arial"/>
          <w:b/>
        </w:rPr>
        <w:t xml:space="preserve"> N° 70</w:t>
      </w:r>
      <w:r w:rsidR="00ED02F0">
        <w:rPr>
          <w:rFonts w:ascii="Palatino Linotype" w:hAnsi="Palatino Linotype" w:cs="Arial"/>
          <w:b/>
        </w:rPr>
        <w:t xml:space="preserve"> DE 2026</w:t>
      </w:r>
      <w:r w:rsidRPr="002A0A87">
        <w:rPr>
          <w:rFonts w:ascii="Palatino Linotype" w:hAnsi="Palatino Linotype" w:cs="Arial"/>
          <w:b/>
        </w:rPr>
        <w:t xml:space="preserve"> DE AUTORIA </w:t>
      </w:r>
      <w:r w:rsidR="0084151F">
        <w:rPr>
          <w:rFonts w:ascii="Palatino Linotype" w:hAnsi="Palatino Linotype" w:cs="Arial"/>
          <w:b/>
        </w:rPr>
        <w:t xml:space="preserve">DO </w:t>
      </w:r>
      <w:r w:rsidR="0084151F">
        <w:rPr>
          <w:rStyle w:val="Strong"/>
        </w:rPr>
        <w:t xml:space="preserve">VEREADOR ERNANI LUIZ DONATTI GRAGNANELLO. </w:t>
      </w:r>
    </w:p>
    <w:p w:rsidR="00ED02F0" w:rsidRPr="002A0A87" w:rsidP="00ED02F0" w14:paraId="03558D67" w14:textId="096A7853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 xml:space="preserve">Seguindo o Voto exarado pelo Relator e conforme determina o artigo 35 da Resolução n° 276 de 09 de novembro de 2010 a Comissão </w:t>
      </w:r>
      <w:r>
        <w:rPr>
          <w:rFonts w:ascii="Palatino Linotype" w:hAnsi="Palatino Linotype" w:cs="Arial"/>
          <w:sz w:val="24"/>
          <w:szCs w:val="24"/>
        </w:rPr>
        <w:t>Per</w:t>
      </w:r>
      <w:r w:rsidR="00221E5E">
        <w:rPr>
          <w:rFonts w:ascii="Palatino Linotype" w:hAnsi="Palatino Linotype" w:cs="Arial"/>
          <w:sz w:val="24"/>
          <w:szCs w:val="24"/>
        </w:rPr>
        <w:t>manente de Justiça e Redação</w:t>
      </w:r>
      <w:r w:rsidR="00C8098B">
        <w:rPr>
          <w:rFonts w:ascii="Palatino Linotype" w:hAnsi="Palatino Linotype" w:cs="Arial"/>
          <w:sz w:val="24"/>
          <w:szCs w:val="24"/>
        </w:rPr>
        <w:t>,</w:t>
      </w:r>
      <w:r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C8098B">
        <w:rPr>
          <w:rFonts w:ascii="Palatino Linotype" w:hAnsi="Palatino Linotype" w:cs="Arial"/>
          <w:sz w:val="24"/>
          <w:szCs w:val="24"/>
        </w:rPr>
        <w:t>AVORÁVEL ao Projeto de Lei n° 70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53551D65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6CF050DD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C8098B">
        <w:rPr>
          <w:rFonts w:ascii="Palatino Linotype" w:hAnsi="Palatino Linotype" w:cs="Arial"/>
          <w:bCs/>
          <w:sz w:val="24"/>
          <w:szCs w:val="24"/>
        </w:rPr>
        <w:t>Comissões, 18</w:t>
      </w:r>
      <w:r w:rsidR="00AE4324">
        <w:rPr>
          <w:rFonts w:ascii="Palatino Linotype" w:hAnsi="Palatino Linotype" w:cs="Arial"/>
          <w:bCs/>
          <w:sz w:val="24"/>
          <w:szCs w:val="24"/>
        </w:rPr>
        <w:t xml:space="preserve"> de agosto</w:t>
      </w:r>
      <w:r w:rsidR="0027340E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27340E" w:rsidRPr="002A0A87" w:rsidP="0027340E" w14:paraId="55B16BA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27340E" w:rsidRPr="002A0A87" w:rsidP="0027340E" w14:paraId="127C7EB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P="0027340E" w14:paraId="4D1665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F4E7CE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311B0E9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27340E" w:rsidRPr="002A0A87" w:rsidP="0027340E" w14:paraId="760BEB8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27340E" w:rsidP="0027340E" w14:paraId="4256B198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12E7E645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579949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27340E" w:rsidRPr="002A0A87" w:rsidP="0027340E" w14:paraId="04458507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7A0D04C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27340E" w:rsidRPr="002A0A87" w:rsidP="0027340E" w14:paraId="607E3391" w14:textId="77777777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27340E" w:rsidRPr="002A0A87" w:rsidP="0027340E" w14:paraId="648D2EB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MÁRCIO EVANDRO RIBEIRO</w:t>
      </w:r>
    </w:p>
    <w:p w:rsidR="0027340E" w:rsidRPr="002A0A87" w:rsidP="0027340E" w14:paraId="1745478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ED02F0" w:rsidP="0027340E" w14:paraId="164E743C" w14:textId="3CAA606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18368F" w:rsidRPr="00FD2743" w:rsidP="0018368F" w14:paraId="3AA0FD48" w14:textId="19E3330E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</w:t>
    </w:r>
    <w:r>
      <w:rPr>
        <w:rFonts w:ascii="Bookman Old Style" w:eastAsia="Arial" w:hAnsi="Bookman Old Style" w:cs="Arial"/>
        <w:b/>
        <w:color w:val="000000"/>
        <w:sz w:val="24"/>
        <w:szCs w:val="24"/>
      </w:rPr>
      <w:t xml:space="preserve"> Vereador Wilians Mendes de Oliveira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456AA8"/>
    <w:multiLevelType w:val="multilevel"/>
    <w:tmpl w:val="0D3AC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1D366B"/>
    <w:multiLevelType w:val="multilevel"/>
    <w:tmpl w:val="CFA0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3D2085"/>
    <w:multiLevelType w:val="multilevel"/>
    <w:tmpl w:val="98B6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821A14"/>
    <w:multiLevelType w:val="multilevel"/>
    <w:tmpl w:val="62D0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C61239"/>
    <w:multiLevelType w:val="hybridMultilevel"/>
    <w:tmpl w:val="B0486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8"/>
  </w:num>
  <w:num w:numId="5">
    <w:abstractNumId w:val="17"/>
  </w:num>
  <w:num w:numId="6">
    <w:abstractNumId w:val="19"/>
  </w:num>
  <w:num w:numId="7">
    <w:abstractNumId w:val="4"/>
  </w:num>
  <w:num w:numId="8">
    <w:abstractNumId w:val="11"/>
  </w:num>
  <w:num w:numId="9">
    <w:abstractNumId w:val="7"/>
  </w:num>
  <w:num w:numId="10">
    <w:abstractNumId w:val="6"/>
  </w:num>
  <w:num w:numId="11">
    <w:abstractNumId w:val="5"/>
  </w:num>
  <w:num w:numId="12">
    <w:abstractNumId w:val="14"/>
  </w:num>
  <w:num w:numId="13">
    <w:abstractNumId w:val="1"/>
  </w:num>
  <w:num w:numId="14">
    <w:abstractNumId w:val="3"/>
  </w:num>
  <w:num w:numId="15">
    <w:abstractNumId w:val="16"/>
  </w:num>
  <w:num w:numId="16">
    <w:abstractNumId w:val="18"/>
  </w:num>
  <w:num w:numId="17">
    <w:abstractNumId w:val="15"/>
  </w:num>
  <w:num w:numId="18">
    <w:abstractNumId w:val="0"/>
  </w:num>
  <w:num w:numId="19">
    <w:abstractNumId w:val="1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18FB"/>
    <w:rsid w:val="00037531"/>
    <w:rsid w:val="00041A2D"/>
    <w:rsid w:val="00061400"/>
    <w:rsid w:val="00064FC8"/>
    <w:rsid w:val="00070FE7"/>
    <w:rsid w:val="00071EF2"/>
    <w:rsid w:val="00073FD2"/>
    <w:rsid w:val="0008150E"/>
    <w:rsid w:val="00093424"/>
    <w:rsid w:val="000950D7"/>
    <w:rsid w:val="00096F36"/>
    <w:rsid w:val="000A1377"/>
    <w:rsid w:val="000A1BE0"/>
    <w:rsid w:val="000B01FB"/>
    <w:rsid w:val="000C3715"/>
    <w:rsid w:val="000D4D77"/>
    <w:rsid w:val="000E49AD"/>
    <w:rsid w:val="000F1F6F"/>
    <w:rsid w:val="000F4933"/>
    <w:rsid w:val="00126AE5"/>
    <w:rsid w:val="001300BE"/>
    <w:rsid w:val="0013658D"/>
    <w:rsid w:val="001475D8"/>
    <w:rsid w:val="0015590E"/>
    <w:rsid w:val="00173831"/>
    <w:rsid w:val="00177254"/>
    <w:rsid w:val="00181506"/>
    <w:rsid w:val="0018368F"/>
    <w:rsid w:val="00187FC6"/>
    <w:rsid w:val="00192536"/>
    <w:rsid w:val="001A23DA"/>
    <w:rsid w:val="001A3CE4"/>
    <w:rsid w:val="001B7303"/>
    <w:rsid w:val="001F267D"/>
    <w:rsid w:val="001F5A1F"/>
    <w:rsid w:val="0020165D"/>
    <w:rsid w:val="002055C5"/>
    <w:rsid w:val="00213987"/>
    <w:rsid w:val="00221E5E"/>
    <w:rsid w:val="00227E2C"/>
    <w:rsid w:val="00230187"/>
    <w:rsid w:val="00234376"/>
    <w:rsid w:val="002514DD"/>
    <w:rsid w:val="00264F94"/>
    <w:rsid w:val="00266AF9"/>
    <w:rsid w:val="0027340E"/>
    <w:rsid w:val="0027672A"/>
    <w:rsid w:val="00277763"/>
    <w:rsid w:val="002913BB"/>
    <w:rsid w:val="00291486"/>
    <w:rsid w:val="00294E96"/>
    <w:rsid w:val="00297379"/>
    <w:rsid w:val="002A0914"/>
    <w:rsid w:val="002A0A87"/>
    <w:rsid w:val="002A2BD3"/>
    <w:rsid w:val="002B71AC"/>
    <w:rsid w:val="002C46E0"/>
    <w:rsid w:val="002F3157"/>
    <w:rsid w:val="002F34B4"/>
    <w:rsid w:val="003121C8"/>
    <w:rsid w:val="00314B47"/>
    <w:rsid w:val="00322469"/>
    <w:rsid w:val="003248A9"/>
    <w:rsid w:val="00342FFE"/>
    <w:rsid w:val="00346786"/>
    <w:rsid w:val="003517E3"/>
    <w:rsid w:val="00362E04"/>
    <w:rsid w:val="0036345A"/>
    <w:rsid w:val="00370D25"/>
    <w:rsid w:val="00371A69"/>
    <w:rsid w:val="0038129E"/>
    <w:rsid w:val="00381C00"/>
    <w:rsid w:val="003826AE"/>
    <w:rsid w:val="00393C7C"/>
    <w:rsid w:val="003A5737"/>
    <w:rsid w:val="003A796B"/>
    <w:rsid w:val="003B1A59"/>
    <w:rsid w:val="003C10D1"/>
    <w:rsid w:val="003C6BCB"/>
    <w:rsid w:val="003D6D21"/>
    <w:rsid w:val="003E237D"/>
    <w:rsid w:val="003F0B47"/>
    <w:rsid w:val="003F59C5"/>
    <w:rsid w:val="003F5AED"/>
    <w:rsid w:val="00405098"/>
    <w:rsid w:val="0040751D"/>
    <w:rsid w:val="00407A7D"/>
    <w:rsid w:val="00446FA1"/>
    <w:rsid w:val="00456770"/>
    <w:rsid w:val="00464667"/>
    <w:rsid w:val="004743FD"/>
    <w:rsid w:val="004865A9"/>
    <w:rsid w:val="00497A43"/>
    <w:rsid w:val="004B6FDF"/>
    <w:rsid w:val="004D002C"/>
    <w:rsid w:val="004D46DA"/>
    <w:rsid w:val="004D552E"/>
    <w:rsid w:val="004E458F"/>
    <w:rsid w:val="004E6092"/>
    <w:rsid w:val="005242B1"/>
    <w:rsid w:val="00543E03"/>
    <w:rsid w:val="005451B2"/>
    <w:rsid w:val="005559D9"/>
    <w:rsid w:val="00555AAF"/>
    <w:rsid w:val="00557215"/>
    <w:rsid w:val="0055728D"/>
    <w:rsid w:val="00571662"/>
    <w:rsid w:val="0057515A"/>
    <w:rsid w:val="00577056"/>
    <w:rsid w:val="005772C9"/>
    <w:rsid w:val="00582CCC"/>
    <w:rsid w:val="00587753"/>
    <w:rsid w:val="00590AA1"/>
    <w:rsid w:val="0059215B"/>
    <w:rsid w:val="005A235E"/>
    <w:rsid w:val="005B2602"/>
    <w:rsid w:val="005B27A9"/>
    <w:rsid w:val="005B370B"/>
    <w:rsid w:val="005B524F"/>
    <w:rsid w:val="005B5870"/>
    <w:rsid w:val="005B766F"/>
    <w:rsid w:val="005D21C6"/>
    <w:rsid w:val="005D6492"/>
    <w:rsid w:val="005E3219"/>
    <w:rsid w:val="005E491E"/>
    <w:rsid w:val="005F2654"/>
    <w:rsid w:val="005F3025"/>
    <w:rsid w:val="005F4E55"/>
    <w:rsid w:val="005F54DA"/>
    <w:rsid w:val="00603CE4"/>
    <w:rsid w:val="00605AFC"/>
    <w:rsid w:val="00612487"/>
    <w:rsid w:val="00613747"/>
    <w:rsid w:val="006176B8"/>
    <w:rsid w:val="00620972"/>
    <w:rsid w:val="00640689"/>
    <w:rsid w:val="00653A28"/>
    <w:rsid w:val="006540C1"/>
    <w:rsid w:val="006553FA"/>
    <w:rsid w:val="00655A35"/>
    <w:rsid w:val="006575C7"/>
    <w:rsid w:val="00657B9A"/>
    <w:rsid w:val="006630AE"/>
    <w:rsid w:val="006834FE"/>
    <w:rsid w:val="00685DBE"/>
    <w:rsid w:val="00697874"/>
    <w:rsid w:val="006A54A9"/>
    <w:rsid w:val="006A762A"/>
    <w:rsid w:val="006C2150"/>
    <w:rsid w:val="006C42D0"/>
    <w:rsid w:val="006D1946"/>
    <w:rsid w:val="006E0F06"/>
    <w:rsid w:val="006E3A0E"/>
    <w:rsid w:val="006F48DD"/>
    <w:rsid w:val="006F7E59"/>
    <w:rsid w:val="00700836"/>
    <w:rsid w:val="007038AD"/>
    <w:rsid w:val="00732EAC"/>
    <w:rsid w:val="00735CD4"/>
    <w:rsid w:val="00744990"/>
    <w:rsid w:val="00746224"/>
    <w:rsid w:val="00751E6B"/>
    <w:rsid w:val="00753ABE"/>
    <w:rsid w:val="007556D8"/>
    <w:rsid w:val="00770B82"/>
    <w:rsid w:val="00781339"/>
    <w:rsid w:val="0078178E"/>
    <w:rsid w:val="00783178"/>
    <w:rsid w:val="00784CD4"/>
    <w:rsid w:val="00785E1B"/>
    <w:rsid w:val="007A08D1"/>
    <w:rsid w:val="007A36FD"/>
    <w:rsid w:val="007B2789"/>
    <w:rsid w:val="007B5164"/>
    <w:rsid w:val="007B6058"/>
    <w:rsid w:val="007C6029"/>
    <w:rsid w:val="007D4B66"/>
    <w:rsid w:val="007E2CFA"/>
    <w:rsid w:val="008000E4"/>
    <w:rsid w:val="00804434"/>
    <w:rsid w:val="0081335D"/>
    <w:rsid w:val="008201A1"/>
    <w:rsid w:val="0084151F"/>
    <w:rsid w:val="00842408"/>
    <w:rsid w:val="00855DD2"/>
    <w:rsid w:val="00857C21"/>
    <w:rsid w:val="00863D24"/>
    <w:rsid w:val="00864928"/>
    <w:rsid w:val="00881E60"/>
    <w:rsid w:val="008905C2"/>
    <w:rsid w:val="008967E2"/>
    <w:rsid w:val="008A3797"/>
    <w:rsid w:val="008A537A"/>
    <w:rsid w:val="008B26D9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26038"/>
    <w:rsid w:val="00934D5B"/>
    <w:rsid w:val="009620AF"/>
    <w:rsid w:val="009709EF"/>
    <w:rsid w:val="009729E1"/>
    <w:rsid w:val="0098102A"/>
    <w:rsid w:val="00996280"/>
    <w:rsid w:val="00996888"/>
    <w:rsid w:val="009D56B8"/>
    <w:rsid w:val="009D6B7C"/>
    <w:rsid w:val="009E2BD9"/>
    <w:rsid w:val="009F3889"/>
    <w:rsid w:val="00A00E3E"/>
    <w:rsid w:val="00A030E7"/>
    <w:rsid w:val="00A0628C"/>
    <w:rsid w:val="00A12DD9"/>
    <w:rsid w:val="00A134EB"/>
    <w:rsid w:val="00A164DC"/>
    <w:rsid w:val="00A27446"/>
    <w:rsid w:val="00A3228F"/>
    <w:rsid w:val="00A37350"/>
    <w:rsid w:val="00A45C3F"/>
    <w:rsid w:val="00A479DE"/>
    <w:rsid w:val="00A672C0"/>
    <w:rsid w:val="00A67DE2"/>
    <w:rsid w:val="00A71DDA"/>
    <w:rsid w:val="00A74CE2"/>
    <w:rsid w:val="00A92E38"/>
    <w:rsid w:val="00AB14D8"/>
    <w:rsid w:val="00AB5A42"/>
    <w:rsid w:val="00AC7167"/>
    <w:rsid w:val="00AD2770"/>
    <w:rsid w:val="00AE4324"/>
    <w:rsid w:val="00AE5858"/>
    <w:rsid w:val="00AF0C05"/>
    <w:rsid w:val="00AF3296"/>
    <w:rsid w:val="00AF3860"/>
    <w:rsid w:val="00AF4AC7"/>
    <w:rsid w:val="00B271BF"/>
    <w:rsid w:val="00B57090"/>
    <w:rsid w:val="00B629A3"/>
    <w:rsid w:val="00BA48C7"/>
    <w:rsid w:val="00BD04BA"/>
    <w:rsid w:val="00BD12E9"/>
    <w:rsid w:val="00BD2CA7"/>
    <w:rsid w:val="00BE41D6"/>
    <w:rsid w:val="00BE4A69"/>
    <w:rsid w:val="00BE6938"/>
    <w:rsid w:val="00BF2720"/>
    <w:rsid w:val="00BF2A6F"/>
    <w:rsid w:val="00BF626F"/>
    <w:rsid w:val="00C10154"/>
    <w:rsid w:val="00C71E3E"/>
    <w:rsid w:val="00C74E3F"/>
    <w:rsid w:val="00C75973"/>
    <w:rsid w:val="00C8098B"/>
    <w:rsid w:val="00C8169D"/>
    <w:rsid w:val="00C81C6E"/>
    <w:rsid w:val="00C872B1"/>
    <w:rsid w:val="00CA4280"/>
    <w:rsid w:val="00CA4349"/>
    <w:rsid w:val="00CB2A0A"/>
    <w:rsid w:val="00CB4B28"/>
    <w:rsid w:val="00CB5D49"/>
    <w:rsid w:val="00CC1562"/>
    <w:rsid w:val="00CC3E72"/>
    <w:rsid w:val="00CD2E42"/>
    <w:rsid w:val="00CF2052"/>
    <w:rsid w:val="00CF288D"/>
    <w:rsid w:val="00D17E31"/>
    <w:rsid w:val="00D20A9F"/>
    <w:rsid w:val="00D233F3"/>
    <w:rsid w:val="00D31573"/>
    <w:rsid w:val="00D33D19"/>
    <w:rsid w:val="00D3440B"/>
    <w:rsid w:val="00D52DAE"/>
    <w:rsid w:val="00D543E6"/>
    <w:rsid w:val="00D635A7"/>
    <w:rsid w:val="00D66197"/>
    <w:rsid w:val="00D72305"/>
    <w:rsid w:val="00D735E2"/>
    <w:rsid w:val="00D77908"/>
    <w:rsid w:val="00D80A2E"/>
    <w:rsid w:val="00D81BDB"/>
    <w:rsid w:val="00D85714"/>
    <w:rsid w:val="00D86C9F"/>
    <w:rsid w:val="00D9258F"/>
    <w:rsid w:val="00DA7AB4"/>
    <w:rsid w:val="00DB224C"/>
    <w:rsid w:val="00DB2935"/>
    <w:rsid w:val="00DB3A06"/>
    <w:rsid w:val="00DB5081"/>
    <w:rsid w:val="00DC32F0"/>
    <w:rsid w:val="00DD4970"/>
    <w:rsid w:val="00DE2A9A"/>
    <w:rsid w:val="00DF605F"/>
    <w:rsid w:val="00E11ECC"/>
    <w:rsid w:val="00E14379"/>
    <w:rsid w:val="00E17780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A0447"/>
    <w:rsid w:val="00EA0DC3"/>
    <w:rsid w:val="00EA375D"/>
    <w:rsid w:val="00EA4E83"/>
    <w:rsid w:val="00EB1570"/>
    <w:rsid w:val="00EB3C9A"/>
    <w:rsid w:val="00EC5677"/>
    <w:rsid w:val="00ED02F0"/>
    <w:rsid w:val="00ED7D93"/>
    <w:rsid w:val="00EE0D8F"/>
    <w:rsid w:val="00EE457C"/>
    <w:rsid w:val="00EF4DE4"/>
    <w:rsid w:val="00EF630E"/>
    <w:rsid w:val="00F10F57"/>
    <w:rsid w:val="00F12E7D"/>
    <w:rsid w:val="00F13148"/>
    <w:rsid w:val="00F1488C"/>
    <w:rsid w:val="00F21F60"/>
    <w:rsid w:val="00F304D4"/>
    <w:rsid w:val="00F42F8D"/>
    <w:rsid w:val="00F518B8"/>
    <w:rsid w:val="00F52B2B"/>
    <w:rsid w:val="00F54B63"/>
    <w:rsid w:val="00F55E24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7AE5"/>
    <w:rsid w:val="00FF403B"/>
    <w:rsid w:val="00FF5C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1989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2</cp:revision>
  <cp:lastPrinted>2026-08-07T12:55:00Z</cp:lastPrinted>
  <dcterms:created xsi:type="dcterms:W3CDTF">2026-08-19T19:47:00Z</dcterms:created>
  <dcterms:modified xsi:type="dcterms:W3CDTF">2026-08-19T19:47:00Z</dcterms:modified>
</cp:coreProperties>
</file>