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C45E3" w14:textId="1CF691AD" w:rsidR="00814A48" w:rsidRPr="00814A48" w:rsidRDefault="00814A48" w:rsidP="00814A48">
      <w:pPr>
        <w:suppressAutoHyphens/>
        <w:autoSpaceDE w:val="0"/>
        <w:autoSpaceDN w:val="0"/>
        <w:adjustRightInd w:val="0"/>
        <w:ind w:left="37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  <w:r w:rsidRPr="00814A48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PROJETO DE LEI Nº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 92 DE 2026</w:t>
      </w:r>
    </w:p>
    <w:p w14:paraId="0981F35B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left="37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14:paraId="59618E06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left="37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  <w:r w:rsidRPr="00814A48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INSTITUI, NO ÂMBITO DO MUNICÍPIO DE MOGI MIRIM, O PROGRAMA MUNICIPAL DE INCENTIVO À CONSTRUÇÃO CIVIL PARA FINS HABITACIONAIS (PMICCH).</w:t>
      </w:r>
    </w:p>
    <w:p w14:paraId="0E925D37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4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200EC313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right="238" w:firstLine="3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</w:t>
      </w:r>
      <w:r w:rsidRPr="00814A48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 Câmara Municipal de Mogi Mirim </w:t>
      </w: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aprovou e o Prefeito Municipal </w:t>
      </w:r>
      <w:r w:rsidRPr="00814A48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DR. PAULO DE OLIVEIRA E SILVA</w:t>
      </w: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sanciona e promulga a seguinte Lei:</w:t>
      </w:r>
    </w:p>
    <w:p w14:paraId="715E7D4D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14A48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Art. 1º</w:t>
      </w: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Fica instituído, no âmbito do Município de Mogi Mirim, o </w:t>
      </w:r>
      <w:r w:rsidRPr="00814A48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PROGRAMA MUNICIPAL DE INCENTIVO À CONSTRUÇÃO CIVIL PARA FINS HABITACIONAIS (PMICCH)</w:t>
      </w: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, que se rege pela presente Lei.</w:t>
      </w:r>
    </w:p>
    <w:p w14:paraId="50F9E52A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1DD94F35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Parágrafo único. O PMICCH tem por objetivo incentivar a iniciativa privada a construir moradias unifamiliares e multifamiliares nos lotes regulares vazios, cuja localização se limita na área urbana consolidada, de forma a estimular a ocupação de vazios já atendidos por infraestrutura urbana, a desenvolver o mercado de construção civil local e a geração de empregos.</w:t>
      </w:r>
    </w:p>
    <w:p w14:paraId="34C05AA7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14:paraId="52628D90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14A48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Art. 2º</w:t>
      </w:r>
      <w:r w:rsidRPr="00814A48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 </w:t>
      </w: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Fica autorizada a construção de edificações habitacionais sobre lotes urbanos com área original entre 300m</w:t>
      </w:r>
      <w:r w:rsidRPr="00814A48">
        <w:rPr>
          <w:rFonts w:ascii="Times New Roman" w:eastAsia="Times New Roman" w:hAnsi="Times New Roman" w:cs="Times New Roman"/>
          <w:sz w:val="24"/>
          <w:szCs w:val="24"/>
          <w:vertAlign w:val="superscript"/>
          <w:lang w:val="pt-PT" w:eastAsia="pt-BR"/>
        </w:rPr>
        <w:t>2</w:t>
      </w: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e 5.000m</w:t>
      </w:r>
      <w:r w:rsidRPr="00814A48">
        <w:rPr>
          <w:rFonts w:ascii="Times New Roman" w:eastAsia="Times New Roman" w:hAnsi="Times New Roman" w:cs="Times New Roman"/>
          <w:sz w:val="24"/>
          <w:szCs w:val="24"/>
          <w:vertAlign w:val="superscript"/>
          <w:lang w:val="pt-PT" w:eastAsia="pt-BR"/>
        </w:rPr>
        <w:t>2</w:t>
      </w: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, com previsão de desdobros ou desmembramentos de terrenos.</w:t>
      </w:r>
    </w:p>
    <w:p w14:paraId="29DD9F70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363A4229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§ 1º O pedido de aprovação de que trata o </w:t>
      </w:r>
      <w:r w:rsidRPr="00814A48">
        <w:rPr>
          <w:rFonts w:ascii="Times New Roman" w:eastAsia="Times New Roman" w:hAnsi="Times New Roman" w:cs="Times New Roman"/>
          <w:i/>
          <w:iCs/>
          <w:sz w:val="24"/>
          <w:szCs w:val="24"/>
          <w:lang w:val="pt-PT" w:eastAsia="pt-BR"/>
        </w:rPr>
        <w:t>caput</w:t>
      </w: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deve conter todos os elementos técnicos que descrevam a subdivisão do lote, o projeto das edificações habitacionais, o Termo de Compromisso assinado pelo interessado e o cronograma de execução das obras, cujo prazo total deve ser de até 24 (vinte e quatro) meses, após a emissão do alvará de obra.</w:t>
      </w:r>
    </w:p>
    <w:p w14:paraId="7408FAC1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1788B27B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§ 2º Poderão ser enquadrados na presente Lei os projetos de condomínios habitacionais horizontais, cuja fração ideal seja, no mínimo de 100 m</w:t>
      </w:r>
      <w:r w:rsidRPr="00814A48">
        <w:rPr>
          <w:rFonts w:ascii="Times New Roman" w:eastAsia="Times New Roman" w:hAnsi="Times New Roman" w:cs="Times New Roman"/>
          <w:sz w:val="24"/>
          <w:szCs w:val="24"/>
          <w:vertAlign w:val="superscript"/>
          <w:lang w:val="pt-PT" w:eastAsia="pt-BR"/>
        </w:rPr>
        <w:t>2</w:t>
      </w: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, por unidade habitacional, desde que respeitada a área máxima de 5.000m</w:t>
      </w:r>
      <w:r w:rsidRPr="00814A48">
        <w:rPr>
          <w:rFonts w:ascii="Times New Roman" w:eastAsia="Times New Roman" w:hAnsi="Times New Roman" w:cs="Times New Roman"/>
          <w:sz w:val="24"/>
          <w:szCs w:val="24"/>
          <w:vertAlign w:val="superscript"/>
          <w:lang w:val="pt-PT" w:eastAsia="pt-BR"/>
        </w:rPr>
        <w:t>2</w:t>
      </w: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do lote original.</w:t>
      </w:r>
    </w:p>
    <w:p w14:paraId="7233CF9A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48B04C9E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§ 3º A aplicação desta Lei restringe-se às áreas delimitadas de acordo com os seguintes Mapeamentos de Áreas Específicas, que integram esta Lei para todos os fins:</w:t>
      </w:r>
    </w:p>
    <w:p w14:paraId="2E78250A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5231A9BA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I - Anexo I – Área de Cobertura de Atendimento – Educação;</w:t>
      </w:r>
    </w:p>
    <w:p w14:paraId="56492E25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507C18A8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II - Anexo II – Área de Influência das Unidades de Saúde.</w:t>
      </w:r>
    </w:p>
    <w:p w14:paraId="43CACF5B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14:paraId="5681A63B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14A48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lastRenderedPageBreak/>
        <w:t>Art. 3º</w:t>
      </w: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 PMICCH terá abrangência urbana, de acordo com o perímetro urbano oficial definido pela Lei Complementar Municipal nº 363/2022 (Plano Diretor de Mogi Mirim), exceto: </w:t>
      </w:r>
    </w:p>
    <w:p w14:paraId="46D30CE9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29A31A91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I - as chácaras de recreio;</w:t>
      </w:r>
    </w:p>
    <w:p w14:paraId="713EF0EF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16ADECE0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II - as áreas que são objetos de processos de regularização fundiária urbanos não concluídos.</w:t>
      </w:r>
    </w:p>
    <w:p w14:paraId="2964FE28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14:paraId="22770186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14A48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Art. 4º</w:t>
      </w: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São requisitos gerais para enquadramento do lote no PMICCH: </w:t>
      </w:r>
    </w:p>
    <w:p w14:paraId="4A8245F9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02C34890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I - deve estar localizado em loteamento devidamente aprovado e registrado no Município de Mogi Mirim;</w:t>
      </w:r>
    </w:p>
    <w:p w14:paraId="18C36D65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1C486E33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II - ter área entre 300m</w:t>
      </w:r>
      <w:r w:rsidRPr="00814A48">
        <w:rPr>
          <w:rFonts w:ascii="Times New Roman" w:eastAsia="Times New Roman" w:hAnsi="Times New Roman" w:cs="Times New Roman"/>
          <w:sz w:val="24"/>
          <w:szCs w:val="24"/>
          <w:vertAlign w:val="superscript"/>
          <w:lang w:val="pt-PT" w:eastAsia="pt-BR"/>
        </w:rPr>
        <w:t>2</w:t>
      </w: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e 5.000m</w:t>
      </w:r>
      <w:r w:rsidRPr="00814A48">
        <w:rPr>
          <w:rFonts w:ascii="Times New Roman" w:eastAsia="Times New Roman" w:hAnsi="Times New Roman" w:cs="Times New Roman"/>
          <w:sz w:val="24"/>
          <w:szCs w:val="24"/>
          <w:vertAlign w:val="superscript"/>
          <w:lang w:val="pt-PT" w:eastAsia="pt-BR"/>
        </w:rPr>
        <w:t>2</w:t>
      </w: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antes do desdobro ou desmembramento;</w:t>
      </w:r>
    </w:p>
    <w:p w14:paraId="21B84EFB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36BAAC5B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III - ter frente para uma via pública oficial de largura mínima do leito carroçável de 6 (seis) metros e declividade longitudinal máxima de 10%, com sistema de condução de águas pluviais e pavimentação;</w:t>
      </w:r>
    </w:p>
    <w:p w14:paraId="3272E93D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7D6A9C41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IV - deve ser atendido por abastecimento de água e coleta de tratamento de esgoto oferecidos pelo Serviço Autônomo de Água e Esgotos de Mogi Mirim (SAAE);</w:t>
      </w:r>
    </w:p>
    <w:p w14:paraId="7DF9544F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61244DB6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V - deve ser servido por serviço de energia elétrica e iluminação pública;</w:t>
      </w:r>
    </w:p>
    <w:p w14:paraId="48C6386D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776F8A5B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VI - deve receber serviço de coleta regular de lixo;</w:t>
      </w:r>
    </w:p>
    <w:p w14:paraId="0D1BC052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7CADB59E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VII - não pode ser localizado sobre área de preservação permanente, de acordo com a Lei Federal nº 12.651/2012 (ao todo ou em parte);</w:t>
      </w:r>
    </w:p>
    <w:p w14:paraId="2F1D7891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18A72A6B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VIII - não pode ser limítrofe a parques ou outras áreas de interesse ambiental, de acordo com a Lei Complementar Municipal nº 363/2022 (Plano Direto de Mogi Mirim).</w:t>
      </w:r>
    </w:p>
    <w:p w14:paraId="6013193F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14:paraId="57BC5F93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14A48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Art. 5º</w:t>
      </w: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 projeto da edificação e do desdobro ou desmembramento deverão atender aos seguintes requisitos:</w:t>
      </w:r>
    </w:p>
    <w:p w14:paraId="70AB7480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7CA13421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I - após o desdobro ou desmembramento, o lote resultante deve ter área mínima de 150m² e testada mínima de 5 metros;</w:t>
      </w:r>
    </w:p>
    <w:p w14:paraId="4F59C9E7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42A37CC2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II - o projeto de edificação deverá seguir os critérios construtivos definidos pelo Código Sanitário e dos Parâmetros e Índices Urbanísticos de </w:t>
      </w: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lastRenderedPageBreak/>
        <w:t>Ocupação do Solo Urbano, segundo a Lei Complementar Municipal nº 363/2022 (Plano Diretor de Mogi Mirim);</w:t>
      </w:r>
    </w:p>
    <w:p w14:paraId="14F5F027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3A0ABB32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III - a edificação deve ter finalidade habitacional e poderá ter, no máximo, 2 (dois) pavimentos (térreo e pavimento superior);</w:t>
      </w:r>
    </w:p>
    <w:p w14:paraId="48BC3B64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783F3714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IV - o recuo frontal deverá seguir as exigências do zoneamento da área em que está localizado, segundo a Lei Complementar Municipal nº 363/2022 (Plano Diretor de Mogi Mirim);</w:t>
      </w:r>
    </w:p>
    <w:p w14:paraId="2C30EC9C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6BF1D757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V - o cronograma de execução das obras da edificação deverá ser de até 24 (vinte e quatro) meses, admitida prorrogação a critério único e exclusivo da Prefeitura de Mogi Mirim, constituindo documento indispensável à aprovação do projeto arquitetônico;</w:t>
      </w:r>
    </w:p>
    <w:p w14:paraId="37DF0710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021EBE5E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VI - no caso de condomínios horizontais, a fração ideal deverá ser de, no mínimo de 100m² por unidade habitacional.</w:t>
      </w:r>
    </w:p>
    <w:p w14:paraId="7079CF8C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14:paraId="0C1C1EEF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14A48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Art. 6º</w:t>
      </w: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Para inscrição no PMICCH o interessado deverá manifestar interesse por meio de requerimento formal à Prefeitura de Mogi Mirim, apresentando, para tanto, os seguintes documentos:</w:t>
      </w:r>
    </w:p>
    <w:p w14:paraId="2DDB5E9D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53C971D2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I - CPF e RG, no caso de pessoa física, ou Cartão de CNPJ, no caso de pessoa jurídica;</w:t>
      </w:r>
    </w:p>
    <w:p w14:paraId="72205562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5D789779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II - Termo de Compromisso, conforme modelo constante do Anexo III desta Lei, devidamente assinado pelo interessado, cujos prazos, cronogramas e efeitos passarão a fluir a partir da data de aprovação do projeto;</w:t>
      </w:r>
    </w:p>
    <w:p w14:paraId="7657D4FF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229324E3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III - matrícula atualizada do lote, demonstrando que está individualizado e devidamente registrado, em nome do interessado, no Cartório de Registro de Imóveis de Mogi Mirim;</w:t>
      </w:r>
    </w:p>
    <w:p w14:paraId="01FAE1D3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10B60876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IV - Certidão Negativa de Débitos com o Município de Mogi Mirim;</w:t>
      </w:r>
    </w:p>
    <w:p w14:paraId="326F622C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76161184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V - cópia do Contrato Social, no caso de pessoa jurídica;</w:t>
      </w:r>
    </w:p>
    <w:p w14:paraId="47AAE57F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02330C63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VI - projeto de desdobro ou desmembramento;</w:t>
      </w:r>
    </w:p>
    <w:p w14:paraId="7B6EDDDF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67429EC9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VII - projeto da edificação a ser construída;</w:t>
      </w:r>
    </w:p>
    <w:p w14:paraId="01D26FA6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0111D2A1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VIII - projeto de condomínio, se for o caso;</w:t>
      </w:r>
    </w:p>
    <w:p w14:paraId="23CA1B1F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1B7F3A51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IX - cronograma de implantação das obras;</w:t>
      </w:r>
    </w:p>
    <w:p w14:paraId="7AECF5C0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6F9CB168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lastRenderedPageBreak/>
        <w:t>X - Anotação de Responsabilidade Técnica (ART) do responsável técnico pelo projeto, pelo cronograma de execução e pelo desdobro ou desmembramento.</w:t>
      </w:r>
    </w:p>
    <w:p w14:paraId="694EE587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12C86AE6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§ 1º O interessado deverá estar quite com suas responsabilidades fiscais perante o Município de Mogi Mirim.</w:t>
      </w:r>
    </w:p>
    <w:p w14:paraId="2DB9C0E3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4A299B4E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§ 2º No prazo de 15 (quinze) dias, a partir do pedido do interessado, a Prefeitura de Mogi Mirim emitirá comunicado sobre a sua habilitação ao PMICCH e, caso seja necessária à complementação de informações, o interessado terá o prazo de 15 (quinze) dias para atender ao comunicado, sob pena de indeferimento e arquivamento do pedido.</w:t>
      </w:r>
    </w:p>
    <w:p w14:paraId="3937ED2E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14:paraId="3192E27E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40"/>
          <w:szCs w:val="40"/>
          <w:lang w:val="pt-PT" w:eastAsia="pt-BR"/>
        </w:rPr>
      </w:pPr>
      <w:r w:rsidRPr="00814A48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Art. 7º</w:t>
      </w:r>
      <w:r w:rsidRPr="00814A48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 </w:t>
      </w: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Para a celebração do Termo de Compromisso e adesão ao PMICCH, o interessado deverá cumprir as seguintes exigências:</w:t>
      </w:r>
    </w:p>
    <w:p w14:paraId="6B07BB03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229E479F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I - o compromissário é o proprietário do lote a ser desdobrado/desmembrado/construído;</w:t>
      </w:r>
    </w:p>
    <w:p w14:paraId="2D2E5709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65CDB78E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II - o compromissário não pode vender ou transferir a posse ou a propriedade do imóvel durante a vigência do Termo de Compromisso, a não ser no caso de financiamento bancário destinado à construção da edificação objeto do projeto aprovado no âmbito do PMICCH;</w:t>
      </w:r>
    </w:p>
    <w:p w14:paraId="2007A0C6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16"/>
          <w:szCs w:val="16"/>
          <w:lang w:val="pt-PT" w:eastAsia="pt-BR"/>
        </w:rPr>
      </w:pPr>
    </w:p>
    <w:p w14:paraId="5FAF8BC4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III - o processo de desdobro ou desmembramento e o processo de aprovação de edificação deverão tramitar em processos administrativos distintos e sequenciais, observando-se que:</w:t>
      </w:r>
    </w:p>
    <w:p w14:paraId="6C91D51D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16"/>
          <w:szCs w:val="16"/>
          <w:lang w:val="pt-PT" w:eastAsia="pt-BR"/>
        </w:rPr>
      </w:pPr>
    </w:p>
    <w:p w14:paraId="31A99D7E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a) o processo de desdobro ou desmembramento deverá preceder a aprovação da edificação, devendo, contudo, a proposta de edificação ser apresentada juntamente, para fins de análise de compatibilidade urbanística e técnica;</w:t>
      </w:r>
    </w:p>
    <w:p w14:paraId="530BAA3D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018EBA3C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b) a aprovação da edificação deverá ser requerida em processos administrativos individuais para cada lote resultante do desdobro ou desmembramento.</w:t>
      </w:r>
    </w:p>
    <w:p w14:paraId="5B8B3BA1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077B734C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32"/>
          <w:szCs w:val="32"/>
          <w:lang w:val="pt-PT" w:eastAsia="pt-BR"/>
        </w:rPr>
      </w:pP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IV - a contar da data de aprovação do desdobro ou desmembramento, o requerente terá o prazo improrrogável de 60 (sessenta) dias para dar entrada no protocolo de aprovação do projeto de edificação correspondente aos lotes resultantes.</w:t>
      </w:r>
    </w:p>
    <w:p w14:paraId="2602E774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5876137F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V - o Termo de Compromisso só estará concluído após a emissão do “Habite-se” das edificações construídas, o que deverá ocorrer no prazo previsto no cronograma.</w:t>
      </w:r>
    </w:p>
    <w:p w14:paraId="44D6DE7B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16"/>
          <w:szCs w:val="16"/>
          <w:lang w:val="pt-PT" w:eastAsia="pt-BR"/>
        </w:rPr>
      </w:pPr>
    </w:p>
    <w:p w14:paraId="0221EB61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Parágrafo único. O descumprimento do inciso II deste artigo configura descumprimento das regras gerais do PMICCH, e o compromissário estará sujeito às penalidades previstas nesta Lei.</w:t>
      </w:r>
    </w:p>
    <w:p w14:paraId="6A4FA1C8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val="pt-PT" w:eastAsia="pt-BR"/>
        </w:rPr>
      </w:pPr>
    </w:p>
    <w:p w14:paraId="0BFE62AF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32"/>
          <w:szCs w:val="32"/>
          <w:lang w:val="pt-PT" w:eastAsia="pt-BR"/>
        </w:rPr>
      </w:pPr>
      <w:r w:rsidRPr="00814A48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Art. 8º</w:t>
      </w:r>
      <w:r w:rsidRPr="00814A48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 </w:t>
      </w: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O descumprimento total ou parcial das obrigações assumidas no Termo de Compromisso</w:t>
      </w:r>
      <w:r w:rsidRPr="00814A48">
        <w:rPr>
          <w:rFonts w:ascii="Times New Roman" w:eastAsia="Times New Roman" w:hAnsi="Times New Roman" w:cs="Times New Roman"/>
          <w:sz w:val="32"/>
          <w:szCs w:val="32"/>
          <w:lang w:val="pt-PT" w:eastAsia="pt-BR"/>
        </w:rPr>
        <w:t xml:space="preserve"> </w:t>
      </w: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firmado no âmbito desta Lei, constatado após a efetivação do registro de desdobro do lote no Cartório de Registro de Imóveis (CRI), sujeitará o compromissário à multa sobre a área desdobrada, observados os critérios e valores estabelecidos no Art. 9 desta lei.</w:t>
      </w:r>
    </w:p>
    <w:p w14:paraId="391C82B4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val="pt-PT" w:eastAsia="pt-BR"/>
        </w:rPr>
      </w:pPr>
    </w:p>
    <w:p w14:paraId="15CF16E6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14A48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Art. 9º</w:t>
      </w:r>
      <w:r w:rsidRPr="00814A48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 </w:t>
      </w: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Julgada improcedente a defesa apresentada pelo infrator ou não sendo a mesma apresentada no prazo fixado, será imposta a multa correspondente, sendo o infrator intimado a recolhê-la dentro do prazo de 5 (cinco) dias, observados os seguintes critérios e valores:</w:t>
      </w:r>
    </w:p>
    <w:p w14:paraId="44AE316C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18"/>
          <w:szCs w:val="18"/>
          <w:lang w:val="pt-PT" w:eastAsia="pt-BR"/>
        </w:rPr>
      </w:pPr>
    </w:p>
    <w:p w14:paraId="69AADB17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I - a multa administrativa será calculada com base no valor venal atualizado de cada lote resultante do desdobro, constante do cadastro imobiliário municipal, conforme tabela abaixo:</w:t>
      </w:r>
    </w:p>
    <w:p w14:paraId="5AA3FFE8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814"/>
        <w:gridCol w:w="4546"/>
      </w:tblGrid>
      <w:tr w:rsidR="00814A48" w:rsidRPr="00814A48" w14:paraId="70E716EE" w14:textId="77777777">
        <w:trPr>
          <w:trHeight w:val="1"/>
        </w:trPr>
        <w:tc>
          <w:tcPr>
            <w:tcW w:w="4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hideMark/>
          </w:tcPr>
          <w:p w14:paraId="609D5F77" w14:textId="77777777" w:rsidR="00814A48" w:rsidRPr="00814A48" w:rsidRDefault="00814A48" w:rsidP="00814A4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lang w:val="pt-PT" w:eastAsia="pt-BR"/>
              </w:rPr>
            </w:pPr>
            <w:r w:rsidRPr="00814A48">
              <w:rPr>
                <w:rFonts w:ascii="Times New Roman" w:eastAsia="Times New Roman" w:hAnsi="Times New Roman" w:cs="Times New Roman"/>
                <w:b/>
                <w:lang w:val="pt-PT" w:eastAsia="pt-BR"/>
              </w:rPr>
              <w:t>VALOR VENAL / LOTE RESULTANTE</w:t>
            </w:r>
          </w:p>
        </w:tc>
        <w:tc>
          <w:tcPr>
            <w:tcW w:w="45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hideMark/>
          </w:tcPr>
          <w:p w14:paraId="10643F8F" w14:textId="77777777" w:rsidR="00814A48" w:rsidRPr="00814A48" w:rsidRDefault="00814A48" w:rsidP="00814A4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lang w:val="pt-PT" w:eastAsia="pt-BR"/>
              </w:rPr>
            </w:pPr>
            <w:r w:rsidRPr="00814A48">
              <w:rPr>
                <w:rFonts w:ascii="Times New Roman" w:eastAsia="Times New Roman" w:hAnsi="Times New Roman" w:cs="Times New Roman"/>
                <w:b/>
                <w:lang w:val="pt-PT" w:eastAsia="pt-BR"/>
              </w:rPr>
              <w:t>VALOR DA MULTA</w:t>
            </w:r>
          </w:p>
        </w:tc>
      </w:tr>
      <w:tr w:rsidR="00814A48" w:rsidRPr="00814A48" w14:paraId="76A0BBC1" w14:textId="77777777">
        <w:trPr>
          <w:trHeight w:val="1"/>
        </w:trPr>
        <w:tc>
          <w:tcPr>
            <w:tcW w:w="4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hideMark/>
          </w:tcPr>
          <w:p w14:paraId="6C679B53" w14:textId="77777777" w:rsidR="00814A48" w:rsidRPr="00814A48" w:rsidRDefault="00814A48" w:rsidP="00814A4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lang w:val="pt-PT" w:eastAsia="pt-BR"/>
              </w:rPr>
            </w:pPr>
            <w:r w:rsidRPr="00814A48">
              <w:rPr>
                <w:rFonts w:ascii="Times New Roman" w:eastAsia="Times New Roman" w:hAnsi="Times New Roman" w:cs="Times New Roman"/>
                <w:lang w:val="pt-PT" w:eastAsia="pt-BR"/>
              </w:rPr>
              <w:t>ATÉ R$ 100.000,00</w:t>
            </w:r>
          </w:p>
        </w:tc>
        <w:tc>
          <w:tcPr>
            <w:tcW w:w="45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hideMark/>
          </w:tcPr>
          <w:p w14:paraId="5DBEAA86" w14:textId="77777777" w:rsidR="00814A48" w:rsidRPr="00814A48" w:rsidRDefault="00814A48" w:rsidP="00814A4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lang w:val="pt-PT" w:eastAsia="pt-BR"/>
              </w:rPr>
            </w:pPr>
            <w:r w:rsidRPr="00814A48">
              <w:rPr>
                <w:rFonts w:ascii="Times New Roman" w:eastAsia="Times New Roman" w:hAnsi="Times New Roman" w:cs="Times New Roman"/>
                <w:lang w:val="pt-PT" w:eastAsia="pt-BR"/>
              </w:rPr>
              <w:t>R$ 15.000,00</w:t>
            </w:r>
          </w:p>
        </w:tc>
      </w:tr>
      <w:tr w:rsidR="00814A48" w:rsidRPr="00814A48" w14:paraId="598E949D" w14:textId="77777777">
        <w:trPr>
          <w:trHeight w:val="1"/>
        </w:trPr>
        <w:tc>
          <w:tcPr>
            <w:tcW w:w="4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hideMark/>
          </w:tcPr>
          <w:p w14:paraId="0F4FDC98" w14:textId="77777777" w:rsidR="00814A48" w:rsidRPr="00814A48" w:rsidRDefault="00814A48" w:rsidP="00814A4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lang w:val="pt-PT" w:eastAsia="pt-BR"/>
              </w:rPr>
            </w:pPr>
            <w:r w:rsidRPr="00814A48">
              <w:rPr>
                <w:rFonts w:ascii="Times New Roman" w:eastAsia="Times New Roman" w:hAnsi="Times New Roman" w:cs="Times New Roman"/>
                <w:lang w:val="pt-PT" w:eastAsia="pt-BR"/>
              </w:rPr>
              <w:t>DE R$ 100.001,00 A R$ 150.000,00</w:t>
            </w:r>
          </w:p>
        </w:tc>
        <w:tc>
          <w:tcPr>
            <w:tcW w:w="45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hideMark/>
          </w:tcPr>
          <w:p w14:paraId="05CE61E7" w14:textId="77777777" w:rsidR="00814A48" w:rsidRPr="00814A48" w:rsidRDefault="00814A48" w:rsidP="00814A4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lang w:val="pt-PT" w:eastAsia="pt-BR"/>
              </w:rPr>
            </w:pPr>
            <w:r w:rsidRPr="00814A48">
              <w:rPr>
                <w:rFonts w:ascii="Times New Roman" w:eastAsia="Times New Roman" w:hAnsi="Times New Roman" w:cs="Times New Roman"/>
                <w:lang w:val="pt-PT" w:eastAsia="pt-BR"/>
              </w:rPr>
              <w:t>R$ 22.500,00</w:t>
            </w:r>
          </w:p>
        </w:tc>
      </w:tr>
      <w:tr w:rsidR="00814A48" w:rsidRPr="00814A48" w14:paraId="2031EC68" w14:textId="77777777">
        <w:trPr>
          <w:trHeight w:val="1"/>
        </w:trPr>
        <w:tc>
          <w:tcPr>
            <w:tcW w:w="48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hideMark/>
          </w:tcPr>
          <w:p w14:paraId="4DE81FA1" w14:textId="77777777" w:rsidR="00814A48" w:rsidRPr="00814A48" w:rsidRDefault="00814A48" w:rsidP="00814A4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pt-PT" w:eastAsia="pt-BR"/>
              </w:rPr>
            </w:pPr>
            <w:r w:rsidRPr="00814A48">
              <w:rPr>
                <w:rFonts w:ascii="Times New Roman" w:eastAsia="Times New Roman" w:hAnsi="Times New Roman" w:cs="Times New Roman"/>
                <w:lang w:val="pt-PT" w:eastAsia="pt-BR"/>
              </w:rPr>
              <w:t>A PARTIR DE R$ 150.001,00</w:t>
            </w:r>
          </w:p>
        </w:tc>
        <w:tc>
          <w:tcPr>
            <w:tcW w:w="45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hideMark/>
          </w:tcPr>
          <w:p w14:paraId="5D124019" w14:textId="77777777" w:rsidR="00814A48" w:rsidRPr="00814A48" w:rsidRDefault="00814A48" w:rsidP="00814A4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lang w:val="pt-PT" w:eastAsia="pt-BR"/>
              </w:rPr>
            </w:pPr>
            <w:r w:rsidRPr="00814A48">
              <w:rPr>
                <w:rFonts w:ascii="Times New Roman" w:eastAsia="Times New Roman" w:hAnsi="Times New Roman" w:cs="Times New Roman"/>
                <w:lang w:val="pt-PT" w:eastAsia="pt-BR"/>
              </w:rPr>
              <w:t>R$ 30.000,00</w:t>
            </w:r>
          </w:p>
        </w:tc>
      </w:tr>
    </w:tbl>
    <w:p w14:paraId="364705C8" w14:textId="77777777" w:rsidR="00814A48" w:rsidRPr="00814A48" w:rsidRDefault="00814A48" w:rsidP="00814A48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DB5A5BE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1CA44CEE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32"/>
          <w:szCs w:val="32"/>
          <w:lang w:val="pt-PT" w:eastAsia="pt-BR"/>
        </w:rPr>
      </w:pP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II - o prazo para pagamento da multa será de 60 (sessenta) dias, contados da notificação da penalidade, assegurado ao autuado o direito de apresentar defesa prévia no prazo de 20 (vinte) dias, contados da notificação da autuação;</w:t>
      </w:r>
    </w:p>
    <w:p w14:paraId="6628174E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2B130B2A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III - quando as multas forem impostas de forma regular, através de meios hábeis e quando o infrator se recusar a pagá-las nos prazos legais, esses débitos serão inscritos em dívida ativa;</w:t>
      </w:r>
    </w:p>
    <w:p w14:paraId="14A01F74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5DE36CC5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IV - nas reincidências, as multas serão aplicadas em dobro.</w:t>
      </w:r>
    </w:p>
    <w:p w14:paraId="78D0B447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79A10B84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Parágrafo único. Considera-se reincidência a repetição da infração pela mesma pessoa física ou jurídica.</w:t>
      </w:r>
    </w:p>
    <w:p w14:paraId="3243AD62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14:paraId="695F47C4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14A48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Art. 10.</w:t>
      </w:r>
      <w:r w:rsidRPr="00814A48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 </w:t>
      </w: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 multa prevista no art. 9 desta Lei possui natureza administrativa, por descumprimento da obrigação imposta pela referida Lei e não exime o infrator da obrigação de cumprir as cláusulas constantes no Termo de Compromisso, sob pena de reversão do desdobro ou outras medidas judiciais cabíveis.</w:t>
      </w:r>
    </w:p>
    <w:p w14:paraId="075108C4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14:paraId="4ACA0385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14A48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Art. 11.</w:t>
      </w:r>
      <w:r w:rsidRPr="00814A48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 </w:t>
      </w: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Considera-se descumprimento, para fins de aplicação da multa, a interrupção injustificada das obras, a alteração da destinação do imóvel prevista no projeto de incentivo.</w:t>
      </w:r>
    </w:p>
    <w:p w14:paraId="42F5E79F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14:paraId="6EC3A496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14A48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Art. 12.</w:t>
      </w:r>
      <w:r w:rsidRPr="00814A48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 </w:t>
      </w: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A existência do Termo de Compromisso e as sanções previstas devem constar, por meio de averbação na matrícula do imóvel no CRI, </w:t>
      </w: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lastRenderedPageBreak/>
        <w:t>conferindo publicidade e responsabilidade solidária a eventuais adquirentes dos lotes desdobrados.</w:t>
      </w:r>
    </w:p>
    <w:p w14:paraId="628E08EC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7DF93E71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Parágrafo único. A averbação de que trata o </w:t>
      </w:r>
      <w:r w:rsidRPr="00814A48">
        <w:rPr>
          <w:rFonts w:ascii="Times New Roman" w:eastAsia="Times New Roman" w:hAnsi="Times New Roman" w:cs="Times New Roman"/>
          <w:i/>
          <w:iCs/>
          <w:sz w:val="24"/>
          <w:szCs w:val="24"/>
          <w:lang w:val="pt-PT" w:eastAsia="pt-BR"/>
        </w:rPr>
        <w:t>caput</w:t>
      </w: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deste artigo constitui condição obrigatória para a aprovação dos projetos de edificações.</w:t>
      </w:r>
    </w:p>
    <w:p w14:paraId="5DDD66CA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11BD4966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Art. 13. A regulamentação, se necessário, da presente Lei, deverá ser formalizada por meio de decreto, respeitando os procedimentos legais aplicáveis.</w:t>
      </w:r>
    </w:p>
    <w:p w14:paraId="25B584C1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14:paraId="3FB2AA84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14A48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Art. 14.</w:t>
      </w:r>
      <w:r w:rsidRPr="00814A48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 </w:t>
      </w: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Esta Lei entra em vigor na data de sua publicação, pelo prazo prorrogável de 18 (dezoito) meses, a contar de sua publicação.</w:t>
      </w:r>
    </w:p>
    <w:p w14:paraId="444471F4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10D47BFB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Parágrafo único. O tempo de vigência poderá ser prorrogado, mediante justificativa prévia, desde que haja interesse público e seja devidamente fundamentada, mediante autorização legislativa.</w:t>
      </w:r>
    </w:p>
    <w:p w14:paraId="42A4F399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4D21FCE3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14A4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Prefeitura de Mogi Mirim, 17 de agosto de 2 026.</w:t>
      </w:r>
    </w:p>
    <w:p w14:paraId="2BEF752C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4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1C6ED142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4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625E9443" w14:textId="77777777" w:rsidR="00814A48" w:rsidRPr="00814A48" w:rsidRDefault="00814A48" w:rsidP="00814A48">
      <w:pPr>
        <w:suppressAutoHyphens/>
        <w:autoSpaceDE w:val="0"/>
        <w:autoSpaceDN w:val="0"/>
        <w:adjustRightInd w:val="0"/>
        <w:ind w:firstLine="34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616AAC86" w14:textId="77777777" w:rsidR="00814A48" w:rsidRPr="00814A48" w:rsidRDefault="00814A48" w:rsidP="00814A48">
      <w:pPr>
        <w:ind w:left="3780"/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814A48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DR. PAULO DE OLIVEIRA E SILVA</w:t>
      </w:r>
    </w:p>
    <w:p w14:paraId="546976E2" w14:textId="77777777" w:rsidR="00814A48" w:rsidRPr="00814A48" w:rsidRDefault="00814A48" w:rsidP="00814A48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14A48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               Prefeito Municipal</w:t>
      </w:r>
    </w:p>
    <w:p w14:paraId="6D028CA6" w14:textId="77777777" w:rsidR="00814A48" w:rsidRPr="00814A48" w:rsidRDefault="00814A48" w:rsidP="00814A48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15DAA043" w14:textId="4C686862" w:rsidR="00814A48" w:rsidRPr="00814A48" w:rsidRDefault="00814A48" w:rsidP="00814A48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814A48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92 de 2026</w:t>
      </w:r>
    </w:p>
    <w:p w14:paraId="7F42E9CD" w14:textId="77777777" w:rsidR="00814A48" w:rsidRPr="00814A48" w:rsidRDefault="00814A48" w:rsidP="00814A48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814A48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14:paraId="74DE13D6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8B51B" w14:textId="77777777" w:rsidR="009415E8" w:rsidRDefault="009415E8">
      <w:r>
        <w:separator/>
      </w:r>
    </w:p>
  </w:endnote>
  <w:endnote w:type="continuationSeparator" w:id="0">
    <w:p w14:paraId="24D42D72" w14:textId="77777777" w:rsidR="009415E8" w:rsidRDefault="00941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6B260" w14:textId="77777777" w:rsidR="009415E8" w:rsidRDefault="009415E8">
      <w:r>
        <w:separator/>
      </w:r>
    </w:p>
  </w:footnote>
  <w:footnote w:type="continuationSeparator" w:id="0">
    <w:p w14:paraId="6BB81DE2" w14:textId="77777777" w:rsidR="009415E8" w:rsidRDefault="009415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74B13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0A8BAE8B" wp14:editId="2BB3C671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23303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5517C861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0C6F1F16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1E084D69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3F8E7462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D4035"/>
    <w:rsid w:val="00697F7F"/>
    <w:rsid w:val="00700224"/>
    <w:rsid w:val="00814A48"/>
    <w:rsid w:val="00851D2E"/>
    <w:rsid w:val="009415E8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14806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1661</Words>
  <Characters>8971</Characters>
  <Application>Microsoft Office Word</Application>
  <DocSecurity>0</DocSecurity>
  <Lines>74</Lines>
  <Paragraphs>21</Paragraphs>
  <ScaleCrop>false</ScaleCrop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2026-08-20T18:02:00Z</dcterms:modified>
</cp:coreProperties>
</file>