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Emenda à Lei Orgânica Nº 1/2026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Emenda à Lei Orgânica Nº 1/2026</w:t>
      </w:r>
    </w:p>
    <w:p w:rsidR="005C5121" w:rsidRPr="003B578C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35708751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3C62C3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 </w:t>
      </w:r>
      <w:r w:rsidRPr="00563BAB">
        <w:rPr>
          <w:rFonts w:ascii="Courier New" w:hAnsi="Courier New" w:cs="Courier New"/>
          <w:i/>
          <w:iCs/>
          <w:kern w:val="3"/>
          <w:sz w:val="22"/>
          <w:szCs w:val="22"/>
        </w:rPr>
        <w:t>PROJETO DE EMENDA À LEI ORGÂNICA Nº 1/2026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P="007F4EEB" w14:paraId="44ACDA23" w14:textId="28B95966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>Acrescenta o art. 13-A ao Título VI – Ato das Disposições Gerais e Transitórias da Lei Orgânica do Município de Mogi Mirim, para dispor sobre o início da aplicação das alíneas “a” e “b” do inciso I do art. 78</w:t>
      </w:r>
      <w:r>
        <w:rPr>
          <w:rFonts w:ascii="Courier New" w:hAnsi="Courier New" w:cs="Courier New"/>
          <w:sz w:val="22"/>
          <w:szCs w:val="22"/>
        </w:rPr>
        <w:t>, passando a vigorar com a seguinte redação:</w:t>
      </w:r>
    </w:p>
    <w:p w:rsidR="00465074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7B5FA7" w14:paraId="478F5033" w14:textId="3DC7CCC0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7B5FA7" w:rsidR="007B5FA7">
        <w:rPr>
          <w:rFonts w:ascii="Courier New" w:hAnsi="Courier New" w:cs="Courier New"/>
          <w:b/>
          <w:bCs/>
          <w:sz w:val="22"/>
          <w:szCs w:val="22"/>
        </w:rPr>
        <w:t>Art. 13-A.</w:t>
      </w:r>
      <w:r w:rsidRPr="007B5FA7" w:rsidR="007B5FA7">
        <w:rPr>
          <w:rFonts w:ascii="Courier New" w:hAnsi="Courier New" w:cs="Courier New"/>
          <w:sz w:val="22"/>
          <w:szCs w:val="22"/>
        </w:rPr>
        <w:t xml:space="preserve"> O disposto </w:t>
      </w:r>
      <w:r w:rsidRPr="007B5FA7" w:rsidR="007B5FA7">
        <w:rPr>
          <w:rFonts w:ascii="Courier New" w:hAnsi="Courier New" w:cs="Courier New"/>
          <w:sz w:val="22"/>
          <w:szCs w:val="22"/>
        </w:rPr>
        <w:t>nas</w:t>
      </w:r>
      <w:r w:rsidRPr="007B5FA7" w:rsidR="007B5FA7">
        <w:rPr>
          <w:rFonts w:ascii="Courier New" w:hAnsi="Courier New" w:cs="Courier New"/>
          <w:sz w:val="22"/>
          <w:szCs w:val="22"/>
        </w:rPr>
        <w:t xml:space="preserve"> alíneas “a” e “b” do inciso I do art. 78 desta Lei Orgânica produzirá efeitos a partir de 1º de janeiro de 202</w:t>
      </w:r>
      <w:r w:rsidR="007B5FA7">
        <w:rPr>
          <w:rFonts w:ascii="Courier New" w:hAnsi="Courier New" w:cs="Courier New"/>
          <w:sz w:val="22"/>
          <w:szCs w:val="22"/>
        </w:rPr>
        <w:t>9</w:t>
      </w:r>
      <w:r w:rsidRPr="007B5FA7" w:rsidR="007B5FA7">
        <w:rPr>
          <w:rFonts w:ascii="Courier New" w:hAnsi="Courier New" w:cs="Courier New"/>
          <w:sz w:val="22"/>
          <w:szCs w:val="22"/>
        </w:rPr>
        <w:t>.</w:t>
      </w:r>
      <w:r w:rsidRPr="003B578C" w:rsidR="00CA126A">
        <w:rPr>
          <w:rFonts w:ascii="Courier New" w:hAnsi="Courier New" w:cs="Courier New"/>
          <w:sz w:val="22"/>
          <w:szCs w:val="22"/>
        </w:rPr>
        <w:t>”</w:t>
      </w:r>
    </w:p>
    <w:p w:rsidR="00563BAB" w:rsidRPr="003B578C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2F2C2181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3B578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28 de agosto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02152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F34345" w:rsidP="007F4EEB" w14:paraId="4ED64C4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F34345" w:rsidRPr="003B578C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381808" cy="1105232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182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88" cy="1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3B578C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B5FA7" w:rsidRPr="007B5FA7" w:rsidP="007B5FA7" w14:paraId="5C9B96F6" w14:textId="5E5A4165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 xml:space="preserve">A presente Emenda Aditiva tem por finalidade estabelecer regra de transição para a aplicação das alíneas “a” e “b” do inciso I do art. 78 da Lei Orgânica do Município de Mogi Mirim, fixando o início de seus efeitos em </w:t>
      </w:r>
      <w:r w:rsidRPr="007B5FA7">
        <w:rPr>
          <w:rFonts w:ascii="Courier New" w:hAnsi="Courier New" w:cs="Courier New"/>
          <w:b/>
          <w:bCs/>
          <w:sz w:val="22"/>
          <w:szCs w:val="22"/>
        </w:rPr>
        <w:t>1º de janeiro de 202</w:t>
      </w:r>
      <w:r>
        <w:rPr>
          <w:rFonts w:ascii="Courier New" w:hAnsi="Courier New" w:cs="Courier New"/>
          <w:b/>
          <w:bCs/>
          <w:sz w:val="22"/>
          <w:szCs w:val="22"/>
        </w:rPr>
        <w:t>9</w:t>
      </w:r>
      <w:r w:rsidRPr="007B5FA7">
        <w:rPr>
          <w:rFonts w:ascii="Courier New" w:hAnsi="Courier New" w:cs="Courier New"/>
          <w:sz w:val="22"/>
          <w:szCs w:val="22"/>
        </w:rPr>
        <w:t>.</w:t>
      </w:r>
    </w:p>
    <w:p w:rsidR="007B5FA7" w:rsidRPr="007B5FA7" w:rsidP="007B5FA7" w14:paraId="57FB3235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>A medida busca assegurar que eventual alteração da disciplina relativa à composição do secretariado municipal seja implementada de forma planejada, previsível e juridicamente segura, evitando a produção imediata de efeitos sobre a organização administrativa atualmente existente.</w:t>
      </w:r>
    </w:p>
    <w:p w:rsidR="007B5FA7" w:rsidRPr="007B5FA7" w:rsidP="007B5FA7" w14:paraId="60E3E8DC" w14:textId="260D2845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>A Lei Orgânica Municipal dispõe, em seu art. 78, que os Secretários Municipais ou Diretores equivalentes integram o rol dos auxiliares diretos do Prefeito, sendo os respectivos cargos de livre nomeação e demissão do Chefe do Poder Executivo.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B5FA7">
        <w:rPr>
          <w:rFonts w:ascii="Courier New" w:hAnsi="Courier New" w:cs="Courier New"/>
          <w:sz w:val="22"/>
          <w:szCs w:val="22"/>
        </w:rPr>
        <w:t>Diante da relevância institucional das funções exercidas por tais agentes, mostra-se razoável que eventual nova disciplina referente à composição do secretariado seja acompanhada de período suficiente para conhecimento prévio, planejamento e adequação administrativa.</w:t>
      </w:r>
    </w:p>
    <w:p w:rsidR="007B5FA7" w:rsidRPr="007B5FA7" w:rsidP="007B5FA7" w14:paraId="22692587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 xml:space="preserve">A fixação de termo inicial futuro prestigia, nesse sentido, os princípios da </w:t>
      </w:r>
      <w:r w:rsidRPr="007B5FA7">
        <w:rPr>
          <w:rFonts w:ascii="Courier New" w:hAnsi="Courier New" w:cs="Courier New"/>
          <w:b/>
          <w:bCs/>
          <w:sz w:val="22"/>
          <w:szCs w:val="22"/>
        </w:rPr>
        <w:t>segurança jurídica, razoabilidade, eficiência e planejamento administrativo</w:t>
      </w:r>
      <w:r w:rsidRPr="007B5FA7">
        <w:rPr>
          <w:rFonts w:ascii="Courier New" w:hAnsi="Courier New" w:cs="Courier New"/>
          <w:sz w:val="22"/>
          <w:szCs w:val="22"/>
        </w:rPr>
        <w:t>, permitindo que a implementação da nova regra ocorra de maneira organizada, sem exigir alteração imediata da composição vigente após a promulgação da Emenda à Lei Orgânica.</w:t>
      </w:r>
    </w:p>
    <w:p w:rsidR="007B5FA7" w:rsidRPr="007B5FA7" w:rsidP="007B5FA7" w14:paraId="36D16B35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 xml:space="preserve">A opção por inserir a norma no </w:t>
      </w:r>
      <w:r w:rsidRPr="007B5FA7">
        <w:rPr>
          <w:rFonts w:ascii="Courier New" w:hAnsi="Courier New" w:cs="Courier New"/>
          <w:b/>
          <w:bCs/>
          <w:sz w:val="22"/>
          <w:szCs w:val="22"/>
        </w:rPr>
        <w:t>Título VI – Ato das Disposições Gerais e Transitórias</w:t>
      </w:r>
      <w:r w:rsidRPr="007B5FA7">
        <w:rPr>
          <w:rFonts w:ascii="Courier New" w:hAnsi="Courier New" w:cs="Courier New"/>
          <w:sz w:val="22"/>
          <w:szCs w:val="22"/>
        </w:rPr>
        <w:t xml:space="preserve"> mostra-se igualmente adequada sob o aspecto da técnica legislativa, uma vez que se trata de disposição de natureza eminentemente temporal, destinada exclusivamente a disciplinar o momento a partir do qual determinada regra permanente passará a produzir efeitos.</w:t>
      </w:r>
    </w:p>
    <w:p w:rsidR="007B5FA7" w:rsidRPr="007B5FA7" w:rsidP="007B5FA7" w14:paraId="1B0AAED1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 xml:space="preserve">O referido Título atualmente encerra-se no </w:t>
      </w:r>
      <w:r w:rsidRPr="007B5FA7">
        <w:rPr>
          <w:rFonts w:ascii="Courier New" w:hAnsi="Courier New" w:cs="Courier New"/>
          <w:b/>
          <w:bCs/>
          <w:sz w:val="22"/>
          <w:szCs w:val="22"/>
        </w:rPr>
        <w:t>art. 13</w:t>
      </w:r>
      <w:r w:rsidRPr="007B5FA7">
        <w:rPr>
          <w:rFonts w:ascii="Courier New" w:hAnsi="Courier New" w:cs="Courier New"/>
          <w:sz w:val="22"/>
          <w:szCs w:val="22"/>
        </w:rPr>
        <w:t xml:space="preserve">, razão pela qual a adoção da numeração </w:t>
      </w:r>
      <w:r w:rsidRPr="007B5FA7">
        <w:rPr>
          <w:rFonts w:ascii="Courier New" w:hAnsi="Courier New" w:cs="Courier New"/>
          <w:b/>
          <w:bCs/>
          <w:sz w:val="22"/>
          <w:szCs w:val="22"/>
        </w:rPr>
        <w:t>art. 13-A</w:t>
      </w:r>
      <w:r w:rsidRPr="007B5FA7">
        <w:rPr>
          <w:rFonts w:ascii="Courier New" w:hAnsi="Courier New" w:cs="Courier New"/>
          <w:sz w:val="22"/>
          <w:szCs w:val="22"/>
        </w:rPr>
        <w:t xml:space="preserve"> permite a inclusão da nova disposição sem necessidade de renumeração dos dispositivos existentes. </w:t>
      </w:r>
    </w:p>
    <w:p w:rsidR="007B5FA7" w:rsidRPr="007B5FA7" w:rsidP="007B5FA7" w14:paraId="7403E0D4" w14:textId="61CEB070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 xml:space="preserve">Ressalte-se, ainda, que a presente emenda </w:t>
      </w:r>
      <w:r w:rsidRPr="007B5FA7">
        <w:rPr>
          <w:rFonts w:ascii="Courier New" w:hAnsi="Courier New" w:cs="Courier New"/>
          <w:b/>
          <w:bCs/>
          <w:sz w:val="22"/>
          <w:szCs w:val="22"/>
        </w:rPr>
        <w:t>não cria cargos, funções ou órgãos públicos, não altera remunerações, não modifica atribuições administrativas e não produz, por si só, aumento de despesa</w:t>
      </w:r>
      <w:r w:rsidRPr="007B5FA7">
        <w:rPr>
          <w:rFonts w:ascii="Courier New" w:hAnsi="Courier New" w:cs="Courier New"/>
          <w:sz w:val="22"/>
          <w:szCs w:val="22"/>
        </w:rPr>
        <w:t>, limitando-se a estabelecer marco temporal para a aplicação de norma eventualmente incorporada ao art. 78 da Lei Orgânica.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B5FA7">
        <w:rPr>
          <w:rFonts w:ascii="Courier New" w:hAnsi="Courier New" w:cs="Courier New"/>
          <w:sz w:val="22"/>
          <w:szCs w:val="22"/>
        </w:rPr>
        <w:t>Trata-se, portanto, de providência destinada a conferir maior estabilidade e previsibilidade à transição normativa, compatibilizando a implementação da nova disciplina com a necessária continuidade da Administração Pública Municipal.</w:t>
      </w:r>
    </w:p>
    <w:p w:rsidR="008871E7" w:rsidP="007B5FA7" w14:paraId="5C06C57F" w14:textId="0D4E0D59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B5FA7">
        <w:rPr>
          <w:rFonts w:ascii="Courier New" w:hAnsi="Courier New" w:cs="Courier New"/>
          <w:sz w:val="22"/>
          <w:szCs w:val="22"/>
        </w:rPr>
        <w:t>Diante do exposto, submete-se a presente Emenda Aditiva à apreciação dos nobres Vereadores.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958A6"/>
    <w:rsid w:val="000A6F2E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974C6"/>
    <w:rsid w:val="003B578C"/>
    <w:rsid w:val="003C62C3"/>
    <w:rsid w:val="003C76C6"/>
    <w:rsid w:val="003D5A48"/>
    <w:rsid w:val="003E0416"/>
    <w:rsid w:val="003E2852"/>
    <w:rsid w:val="003E7309"/>
    <w:rsid w:val="00401038"/>
    <w:rsid w:val="00402140"/>
    <w:rsid w:val="00416282"/>
    <w:rsid w:val="00426E1A"/>
    <w:rsid w:val="00452524"/>
    <w:rsid w:val="004622A3"/>
    <w:rsid w:val="00465074"/>
    <w:rsid w:val="00466795"/>
    <w:rsid w:val="00473BA2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21BE4"/>
    <w:rsid w:val="00537FEA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5FA7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B2B0E"/>
    <w:rsid w:val="00DD1C8A"/>
    <w:rsid w:val="00DD1D31"/>
    <w:rsid w:val="00DD36B8"/>
    <w:rsid w:val="00DD547B"/>
    <w:rsid w:val="00DF249B"/>
    <w:rsid w:val="00E14DC4"/>
    <w:rsid w:val="00E26DB0"/>
    <w:rsid w:val="00E313E0"/>
    <w:rsid w:val="00E437DD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2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66</cp:revision>
  <cp:lastPrinted>2026-08-28T17:39:44Z</cp:lastPrinted>
  <dcterms:created xsi:type="dcterms:W3CDTF">2026-01-09T01:35:00Z</dcterms:created>
  <dcterms:modified xsi:type="dcterms:W3CDTF">2026-08-28T17:36:00Z</dcterms:modified>
</cp:coreProperties>
</file>