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79C1">
        <w:rPr>
          <w:rFonts w:asciiTheme="majorHAnsi" w:hAnsiTheme="majorHAnsi" w:cstheme="majorHAnsi"/>
          <w:b/>
          <w:sz w:val="24"/>
          <w:szCs w:val="24"/>
        </w:rPr>
        <w:t>2</w:t>
      </w:r>
      <w:r w:rsidR="00BF79C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79/2026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BF79C1">
        <w:rPr>
          <w:rFonts w:asciiTheme="majorHAnsi" w:hAnsiTheme="majorHAnsi" w:cstheme="majorHAnsi"/>
          <w:b/>
          <w:color w:val="000000"/>
          <w:sz w:val="24"/>
          <w:szCs w:val="24"/>
        </w:rPr>
        <w:t>º 99</w:t>
      </w:r>
      <w:r w:rsidR="00502AE9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0724DA">
        <w:rPr>
          <w:rFonts w:asciiTheme="majorHAnsi" w:hAnsiTheme="majorHAnsi" w:cstheme="majorHAnsi"/>
          <w:sz w:val="24"/>
          <w:szCs w:val="24"/>
        </w:rPr>
        <w:t>acerca do Projeto de Lei nº 79/2026</w:t>
      </w:r>
      <w:r w:rsidR="00BE68FF">
        <w:rPr>
          <w:rFonts w:asciiTheme="majorHAnsi" w:hAnsiTheme="majorHAnsi" w:cstheme="majorHAnsi"/>
          <w:sz w:val="24"/>
          <w:szCs w:val="24"/>
        </w:rPr>
        <w:t xml:space="preserve">, </w:t>
      </w:r>
      <w:r w:rsidR="000724DA">
        <w:rPr>
          <w:rFonts w:asciiTheme="majorHAnsi" w:hAnsiTheme="majorHAnsi" w:cstheme="majorHAnsi"/>
          <w:sz w:val="24"/>
          <w:szCs w:val="24"/>
        </w:rPr>
        <w:t>d</w:t>
      </w:r>
      <w:r w:rsidRPr="000724DA" w:rsidR="000724DA">
        <w:rPr>
          <w:rFonts w:asciiTheme="majorHAnsi" w:hAnsiTheme="majorHAnsi" w:cstheme="majorHAnsi"/>
          <w:sz w:val="24"/>
          <w:szCs w:val="24"/>
        </w:rPr>
        <w:t>e autoria do Vereador Manoel E</w:t>
      </w:r>
      <w:r w:rsidR="000724DA">
        <w:rPr>
          <w:rFonts w:asciiTheme="majorHAnsi" w:hAnsiTheme="majorHAnsi" w:cstheme="majorHAnsi"/>
          <w:sz w:val="24"/>
          <w:szCs w:val="24"/>
        </w:rPr>
        <w:t>duardo Pereira da Cruz Palomino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0724DA" w:rsidRP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724DA">
        <w:rPr>
          <w:rFonts w:asciiTheme="majorHAnsi" w:hAnsiTheme="majorHAnsi" w:cstheme="majorHAnsi"/>
          <w:sz w:val="24"/>
          <w:szCs w:val="24"/>
        </w:rPr>
        <w:t>O Projeto de Lei nº 79/2026 tem por objetivo instituir, no Município de Mogi Mirim, o Programa Municipal de Melhoria Habitacional, voltado à promoção de condições adequadas de segurança, salubridade, acessibilidade e habitabilidade nas moradias ocupadas por famílias em situação de vulnerabilidade social.</w:t>
      </w:r>
    </w:p>
    <w:p w:rsidR="000724DA" w:rsidRP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RP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724DA">
        <w:rPr>
          <w:rFonts w:asciiTheme="majorHAnsi" w:hAnsiTheme="majorHAnsi" w:cstheme="majorHAnsi"/>
          <w:sz w:val="24"/>
          <w:szCs w:val="24"/>
        </w:rPr>
        <w:t>Conforme consta da justificativa apresentada pelo autor, o direito à moradia digna não se limita à existência de uma edificação, sendo necessário que a residência ofereça condições mínimas de segurança, proteção contra intempéries, higiene, saneamento, ventilação, acessibilidade e conforto indispensável à vida familiar.</w:t>
      </w:r>
    </w:p>
    <w:p w:rsidR="000724DA" w:rsidRP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677F3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724DA">
        <w:rPr>
          <w:rFonts w:asciiTheme="majorHAnsi" w:hAnsiTheme="majorHAnsi" w:cstheme="majorHAnsi"/>
          <w:sz w:val="24"/>
          <w:szCs w:val="24"/>
        </w:rPr>
        <w:t>O autor destaca que muitas famílias de baixa renda, embora possuam ou ocupem uma residência, convivem com situações como:</w:t>
      </w:r>
      <w:r w:rsidR="00BE68FF">
        <w:rPr>
          <w:rFonts w:asciiTheme="majorHAnsi" w:hAnsiTheme="majorHAnsi" w:cstheme="majorHAnsi"/>
          <w:sz w:val="24"/>
          <w:szCs w:val="24"/>
        </w:rPr>
        <w:t xml:space="preserve">            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</w:t>
      </w:r>
      <w:r w:rsidRPr="000724DA">
        <w:rPr>
          <w:rFonts w:asciiTheme="majorHAnsi" w:hAnsiTheme="majorHAnsi" w:cstheme="majorHAnsi"/>
          <w:sz w:val="24"/>
          <w:szCs w:val="24"/>
        </w:rPr>
        <w:t>elhados danificados;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</w:t>
      </w:r>
      <w:r w:rsidRPr="000724DA">
        <w:rPr>
          <w:rFonts w:asciiTheme="majorHAnsi" w:hAnsiTheme="majorHAnsi" w:cstheme="majorHAnsi"/>
          <w:sz w:val="24"/>
          <w:szCs w:val="24"/>
        </w:rPr>
        <w:t>nfiltrações e umidade;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</w:t>
      </w:r>
      <w:r w:rsidRPr="000724DA">
        <w:rPr>
          <w:rFonts w:asciiTheme="majorHAnsi" w:hAnsiTheme="majorHAnsi" w:cstheme="majorHAnsi"/>
          <w:sz w:val="24"/>
          <w:szCs w:val="24"/>
        </w:rPr>
        <w:t>nstalações elétricas precárias;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</w:t>
      </w:r>
      <w:r w:rsidRPr="000724DA">
        <w:rPr>
          <w:rFonts w:asciiTheme="majorHAnsi" w:hAnsiTheme="majorHAnsi" w:cstheme="majorHAnsi"/>
          <w:sz w:val="24"/>
          <w:szCs w:val="24"/>
        </w:rPr>
        <w:t>anheiros inadequados;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</w:t>
      </w:r>
      <w:r w:rsidRPr="000724DA">
        <w:rPr>
          <w:rFonts w:asciiTheme="majorHAnsi" w:hAnsiTheme="majorHAnsi" w:cstheme="majorHAnsi"/>
          <w:sz w:val="24"/>
          <w:szCs w:val="24"/>
        </w:rPr>
        <w:t>usência de acessibilidade;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</w:t>
      </w:r>
      <w:r w:rsidRPr="000724DA">
        <w:rPr>
          <w:rFonts w:asciiTheme="majorHAnsi" w:hAnsiTheme="majorHAnsi" w:cstheme="majorHAnsi"/>
          <w:sz w:val="24"/>
          <w:szCs w:val="24"/>
        </w:rPr>
        <w:t>iscos estruturais;</w:t>
      </w:r>
    </w:p>
    <w:p w:rsidR="000724DA" w:rsidRPr="000724DA" w:rsidP="000724DA">
      <w:pPr>
        <w:pStyle w:val="ListParagraph"/>
        <w:numPr>
          <w:ilvl w:val="0"/>
          <w:numId w:val="23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</w:t>
      </w:r>
      <w:r w:rsidRPr="000724DA">
        <w:rPr>
          <w:rFonts w:asciiTheme="majorHAnsi" w:hAnsiTheme="majorHAnsi" w:cstheme="majorHAnsi"/>
          <w:sz w:val="24"/>
          <w:szCs w:val="24"/>
        </w:rPr>
        <w:t>ondições que comprometem a saúde e a segurança dos moradores.</w:t>
      </w:r>
    </w:p>
    <w:p w:rsidR="000724DA" w:rsidRP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724DA">
        <w:rPr>
          <w:rFonts w:asciiTheme="majorHAnsi" w:hAnsiTheme="majorHAnsi" w:cstheme="majorHAnsi"/>
          <w:sz w:val="24"/>
          <w:szCs w:val="24"/>
        </w:rPr>
        <w:t>O autor ressalta que intervenções de pequena e média complexidade podem produzir significativo impacto social, como o reparo de telhados, a adequação de instalações elétricas e hidráulicas, a reforma de banheiros, a eliminação de infiltrações e a instalação de rampas, corrimãos e barras de apoio.</w:t>
      </w:r>
    </w:p>
    <w:p w:rsidR="000724DA" w:rsidRP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724DA">
        <w:rPr>
          <w:rFonts w:asciiTheme="majorHAnsi" w:hAnsiTheme="majorHAnsi" w:cstheme="majorHAnsi"/>
          <w:sz w:val="24"/>
          <w:szCs w:val="24"/>
        </w:rPr>
        <w:t>A proposta também pretende contribuir para a integração das políticas municipais de habitação, assistência social, saúde, saneamento, acessibilidade, defesa civil e desenvolvimento urbano, além de ampliar a capacidade do Município de captar recursos estaduais e federais, receber emendas parlamentares, celebrar convênios e estabelecer parcerias com instituições públicas e privadas.</w:t>
      </w:r>
    </w:p>
    <w:p w:rsid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 ponto de vista financeiro, a</w:t>
      </w:r>
      <w:r w:rsidRPr="000724DA">
        <w:rPr>
          <w:rFonts w:asciiTheme="majorHAnsi" w:hAnsiTheme="majorHAnsi" w:cstheme="majorHAnsi"/>
          <w:sz w:val="24"/>
          <w:szCs w:val="24"/>
        </w:rPr>
        <w:t xml:space="preserve"> justificativa esclarece, ainda, que o projeto: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cria órgão público;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cria cargo ou função;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altera a estrutura administrativa municipal;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determina a contratação de pessoal;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obriga o Poder Executivo a executar imediatamente obras ou reformas;</w:t>
      </w:r>
    </w:p>
    <w:p w:rsid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Pr="000724DA">
        <w:rPr>
          <w:rFonts w:asciiTheme="majorHAnsi" w:hAnsiTheme="majorHAnsi" w:cstheme="majorHAnsi"/>
          <w:sz w:val="24"/>
          <w:szCs w:val="24"/>
        </w:rPr>
        <w:t>ão assegura atendimento automático ou direito subjetivo à realização de intervenção;</w:t>
      </w:r>
    </w:p>
    <w:p w:rsidR="000724DA" w:rsidRPr="000724DA" w:rsidP="000724DA">
      <w:pPr>
        <w:pStyle w:val="ListParagraph"/>
        <w:numPr>
          <w:ilvl w:val="0"/>
          <w:numId w:val="24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</w:t>
      </w:r>
      <w:r w:rsidRPr="000724DA">
        <w:rPr>
          <w:rFonts w:asciiTheme="majorHAnsi" w:hAnsiTheme="majorHAnsi" w:cstheme="majorHAnsi"/>
          <w:sz w:val="24"/>
          <w:szCs w:val="24"/>
        </w:rPr>
        <w:t>ondiciona a implementação ao planejamento administrativo, à avaliação técnica e socioeconômica, à existência de fontes de financiamento e à disponibilidade orçamentária, financeira e operacional do Município.</w:t>
      </w:r>
    </w:p>
    <w:p w:rsidR="000724DA" w:rsidP="000724D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Ainda neste quesito, a propositura </w:t>
      </w:r>
      <w:r w:rsidR="00A35C6B">
        <w:rPr>
          <w:rFonts w:asciiTheme="majorHAnsi" w:hAnsiTheme="majorHAnsi" w:cstheme="majorHAnsi"/>
          <w:sz w:val="24"/>
          <w:szCs w:val="24"/>
        </w:rPr>
        <w:t>p</w:t>
      </w:r>
      <w:r w:rsidRPr="000724DA">
        <w:rPr>
          <w:rFonts w:asciiTheme="majorHAnsi" w:hAnsiTheme="majorHAnsi" w:cstheme="majorHAnsi"/>
          <w:sz w:val="24"/>
          <w:szCs w:val="24"/>
        </w:rPr>
        <w:t>revê que as ações poderão ser custeadas por dotações orçamentárias municipais, fundos habitacionais, transferências da União e do Estado, convênios, emendas parlamentares, doações, financiamentos, parcerias e outras fontes legalmente admitidas.</w:t>
      </w:r>
    </w:p>
    <w:p w:rsid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02AE9" w:rsidRPr="00D677F3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502AE9" w:rsidR="00502AE9">
        <w:rPr>
          <w:rFonts w:asciiTheme="majorHAnsi" w:hAnsiTheme="majorHAnsi" w:cstheme="majorHAnsi"/>
        </w:rPr>
        <w:t xml:space="preserve">Inicialmente, destacamos que a presente propositura já tramitou pela Comissão de Justiça e Redação, </w:t>
      </w:r>
      <w:r>
        <w:rPr>
          <w:rFonts w:asciiTheme="majorHAnsi" w:hAnsiTheme="majorHAnsi" w:cstheme="majorHAnsi"/>
        </w:rPr>
        <w:t xml:space="preserve">que </w:t>
      </w:r>
      <w:r w:rsidRPr="000724DA">
        <w:rPr>
          <w:rFonts w:asciiTheme="majorHAnsi" w:hAnsiTheme="majorHAnsi" w:cstheme="majorHAnsi"/>
        </w:rPr>
        <w:t>se manifestou favoravelmente ao projeto, reconhecendo sua constitucionalidade, legalidade, juridicidade e compatibilidade com a competência legislativa municipal.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724DA" w:rsidRPr="000724DA" w:rsidP="000724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 xml:space="preserve">Em sua análise, a Comissão destacou que a proposição possui natureza </w:t>
      </w:r>
      <w:r w:rsidRPr="000724DA">
        <w:rPr>
          <w:rFonts w:asciiTheme="majorHAnsi" w:hAnsiTheme="majorHAnsi" w:cstheme="majorHAnsi"/>
          <w:b/>
        </w:rPr>
        <w:t>predominantemente programática, estabelecendo objetivos, diretrizes e instrumentos para futura implementação de política pública habitacional</w:t>
      </w:r>
      <w:r w:rsidRPr="000724DA">
        <w:rPr>
          <w:rFonts w:asciiTheme="majorHAnsi" w:hAnsiTheme="majorHAnsi" w:cstheme="majorHAnsi"/>
        </w:rPr>
        <w:t>, sem criar órgãos, cargos ou funções públicas e sem impor a execução imediata de obras, serviços ou benefícios.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724DA" w:rsidP="000724D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 xml:space="preserve">A Comissão de Obras, Serviços Públicos e Atividades Privadas também se manifestou favoravelmente à matéria, reconhecendo a </w:t>
      </w:r>
      <w:r w:rsidRPr="000724DA">
        <w:rPr>
          <w:rFonts w:asciiTheme="majorHAnsi" w:hAnsiTheme="majorHAnsi" w:cstheme="majorHAnsi"/>
          <w:b/>
        </w:rPr>
        <w:t>relevância do programa para a melhoria das condições habitacionais</w:t>
      </w:r>
      <w:r w:rsidRPr="000724DA">
        <w:rPr>
          <w:rFonts w:asciiTheme="majorHAnsi" w:hAnsiTheme="majorHAnsi" w:cstheme="majorHAnsi"/>
        </w:rPr>
        <w:t xml:space="preserve"> das famílias em situação de vulnerabilidade social.</w:t>
      </w:r>
    </w:p>
    <w:p w:rsidR="000724DA" w:rsidP="00502AE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724DA" w:rsidRPr="000724DA" w:rsidP="000724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>O parecer da SGP — Consulta nº 0328/2026 reconheceu a competência municipal para tratar de política habitacional, com fundamento nos artigos 6º, 23, inciso IX, e 30, incisos I e II, da Constituição Federal, bem como na legislação federal relacionada à política urbana, à habitação de interesse social e à assistência técnica para famílias de baixa renda.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724DA" w:rsidRPr="000724DA" w:rsidP="000724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>A manifestação jurídica concluiu pela inexistência de vícios de inconstitucionalidade material ou formal e reconheceu a iniciativa parlamentar para a instituição do programa</w:t>
      </w:r>
      <w:r>
        <w:rPr>
          <w:rFonts w:asciiTheme="majorHAnsi" w:hAnsiTheme="majorHAnsi" w:cstheme="majorHAnsi"/>
        </w:rPr>
        <w:t xml:space="preserve">. Entretanto, ressalvou que </w:t>
      </w:r>
      <w:r w:rsidRPr="000724DA">
        <w:rPr>
          <w:rFonts w:asciiTheme="majorHAnsi" w:hAnsiTheme="majorHAnsi" w:cstheme="majorHAnsi"/>
        </w:rPr>
        <w:t xml:space="preserve">as modalidades previstas no projeto que envolvam fornecimento de materiais, execução de serviços ou concessão de apoio financeiro poderão gerar despesas </w:t>
      </w:r>
      <w:r w:rsidRPr="000724DA">
        <w:rPr>
          <w:rFonts w:asciiTheme="majorHAnsi" w:hAnsiTheme="majorHAnsi" w:cstheme="majorHAnsi"/>
        </w:rPr>
        <w:t>públicas e, nessa hipótese, deverão observar o artigo 113 do Ato das Disposições Constitucionais Transitórias e os artigos 14, 16 e 17 da Lei de Responsabilidade Fiscal.</w:t>
      </w:r>
    </w:p>
    <w:p w:rsidR="000724DA" w:rsidRPr="000724DA" w:rsidP="000724D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0724DA" w:rsidP="000724D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>Assim, a eventual execução concreta do programa deverá ser precedida dos estudos e documentos necessários à demonstração da adequação orçamentária e financeira da despesa.</w:t>
      </w:r>
    </w:p>
    <w:p w:rsidR="000724DA" w:rsidP="00502AE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724DA" w:rsidP="000724D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 xml:space="preserve">Sob o aspecto financeiro, observa-se que o projeto foi redigido de modo a </w:t>
      </w:r>
      <w:r w:rsidRPr="000724DA">
        <w:rPr>
          <w:rFonts w:asciiTheme="majorHAnsi" w:hAnsiTheme="majorHAnsi" w:cstheme="majorHAnsi"/>
          <w:b/>
        </w:rPr>
        <w:t>não impor a execução imediata ou automática das ações previstas</w:t>
      </w:r>
      <w:r w:rsidRPr="000724DA">
        <w:rPr>
          <w:rFonts w:asciiTheme="majorHAnsi" w:hAnsiTheme="majorHAnsi" w:cstheme="majorHAnsi"/>
        </w:rPr>
        <w:t>.</w:t>
      </w:r>
      <w:r w:rsidRPr="000724DA">
        <w:t xml:space="preserve"> </w:t>
      </w:r>
      <w:r w:rsidRPr="000724DA">
        <w:rPr>
          <w:rFonts w:asciiTheme="majorHAnsi" w:hAnsiTheme="majorHAnsi" w:cstheme="majorHAnsi"/>
        </w:rPr>
        <w:t>O artigo 1º, § 2º, dispõe expressamente:</w:t>
      </w:r>
    </w:p>
    <w:p w:rsidR="000724DA" w:rsidP="00502AE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02AE9" w:rsidP="000724DA">
      <w:pPr>
        <w:pStyle w:val="NormalWeb"/>
        <w:spacing w:after="0" w:afterAutospacing="0"/>
        <w:ind w:left="2160"/>
        <w:contextualSpacing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“[...]</w:t>
      </w:r>
      <w:r w:rsidRPr="000724DA">
        <w:rPr>
          <w:rFonts w:asciiTheme="majorHAnsi" w:hAnsiTheme="majorHAnsi" w:cstheme="majorHAnsi"/>
          <w:i/>
        </w:rPr>
        <w:t>A instituição do Programa não assegura atendimento imediato ou automático, nem gera direito subjetivo à realização de obra, reforma, fornecimento de materiais ou concessão de benefício individual</w:t>
      </w:r>
      <w:r>
        <w:rPr>
          <w:rFonts w:asciiTheme="majorHAnsi" w:hAnsiTheme="majorHAnsi" w:cstheme="majorHAnsi"/>
          <w:i/>
        </w:rPr>
        <w:t>”</w:t>
      </w:r>
    </w:p>
    <w:p w:rsidR="00E113CF" w:rsidP="00E113CF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E113CF" w:rsidRPr="00E113CF" w:rsidP="00E113C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E113CF">
        <w:rPr>
          <w:rFonts w:asciiTheme="majorHAnsi" w:hAnsiTheme="majorHAnsi" w:cstheme="majorHAnsi"/>
        </w:rPr>
        <w:t>Essa disposição é relevante para a análise desta Comissão, pois impede que a aprovação da lei seja interpretada como autorização para a realização indiscriminada de obras, reformas, aquisição de materiais ou concessão de apoio financeiro sem prévia avaliação da capacidade financeira e operacional do Município.</w:t>
      </w:r>
    </w:p>
    <w:p w:rsidR="000724D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E113CF" w:rsidRPr="00E113CF" w:rsidP="00E113CF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Sobre as fontes de recurso</w:t>
      </w:r>
      <w:r w:rsidR="00A35C6B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, </w:t>
      </w:r>
      <w:r w:rsidRPr="00E113CF">
        <w:rPr>
          <w:rFonts w:asciiTheme="majorHAnsi" w:hAnsiTheme="majorHAnsi" w:cstheme="majorHAnsi"/>
        </w:rPr>
        <w:t>O artigo 9º prevê que as ações poderão ser custeadas por diversas fontes, entre elas:</w:t>
      </w:r>
    </w:p>
    <w:p w:rsidR="00E113CF" w:rsidRPr="00E113CF" w:rsidP="00E113CF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E113CF">
        <w:rPr>
          <w:rFonts w:asciiTheme="majorHAnsi" w:hAnsiTheme="majorHAnsi" w:cstheme="majorHAnsi"/>
        </w:rPr>
        <w:t>otações consignadas no orçamento municipal;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E113CF">
        <w:rPr>
          <w:rFonts w:asciiTheme="majorHAnsi" w:hAnsiTheme="majorHAnsi" w:cstheme="majorHAnsi"/>
        </w:rPr>
        <w:t>Fundo Municipal de Habitação de Interesse Social;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Pr="00E113CF">
        <w:rPr>
          <w:rFonts w:asciiTheme="majorHAnsi" w:hAnsiTheme="majorHAnsi" w:cstheme="majorHAnsi"/>
        </w:rPr>
        <w:t>undos nacionais e estaduais;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E113CF">
        <w:rPr>
          <w:rFonts w:asciiTheme="majorHAnsi" w:hAnsiTheme="majorHAnsi" w:cstheme="majorHAnsi"/>
        </w:rPr>
        <w:t>ransferências da União e do Estado;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Pr="00E113CF">
        <w:rPr>
          <w:rFonts w:asciiTheme="majorHAnsi" w:hAnsiTheme="majorHAnsi" w:cstheme="majorHAnsi"/>
        </w:rPr>
        <w:t>onvênios e contratos de repasse;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Pr="00E113CF">
        <w:rPr>
          <w:rFonts w:asciiTheme="majorHAnsi" w:hAnsiTheme="majorHAnsi" w:cstheme="majorHAnsi"/>
        </w:rPr>
        <w:t>mendas parlamentares;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E113CF">
        <w:rPr>
          <w:rFonts w:asciiTheme="majorHAnsi" w:hAnsiTheme="majorHAnsi" w:cstheme="majorHAnsi"/>
        </w:rPr>
        <w:t>oações, legados e subvenções;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Pr="00E113CF">
        <w:rPr>
          <w:rFonts w:asciiTheme="majorHAnsi" w:hAnsiTheme="majorHAnsi" w:cstheme="majorHAnsi"/>
        </w:rPr>
        <w:t>ecursos de organizações nacionais ou internacionais;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Pr="00E113CF">
        <w:rPr>
          <w:rFonts w:asciiTheme="majorHAnsi" w:hAnsiTheme="majorHAnsi" w:cstheme="majorHAnsi"/>
        </w:rPr>
        <w:t>perações de crédito e financiamentos legalmente autorizados;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Pr="00E113CF">
        <w:rPr>
          <w:rFonts w:asciiTheme="majorHAnsi" w:hAnsiTheme="majorHAnsi" w:cstheme="majorHAnsi"/>
        </w:rPr>
        <w:t>ontrapartidas decorrentes de parcerias;</w:t>
      </w:r>
    </w:p>
    <w:p w:rsidR="00E113CF" w:rsidRPr="00E113CF" w:rsidP="00E113CF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Pr="00E113CF">
        <w:rPr>
          <w:rFonts w:asciiTheme="majorHAnsi" w:hAnsiTheme="majorHAnsi" w:cstheme="majorHAnsi"/>
        </w:rPr>
        <w:t>ompensações e instrumentos urbanísticos, quando cabíveis;</w:t>
      </w:r>
    </w:p>
    <w:p w:rsidR="00E113CF" w:rsidP="00E113CF">
      <w:pPr>
        <w:pStyle w:val="NormalWeb"/>
        <w:numPr>
          <w:ilvl w:val="0"/>
          <w:numId w:val="25"/>
        </w:numPr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Pr="00E113CF">
        <w:rPr>
          <w:rFonts w:asciiTheme="majorHAnsi" w:hAnsiTheme="majorHAnsi" w:cstheme="majorHAnsi"/>
        </w:rPr>
        <w:t>utras fontes legalmente admitidas.</w:t>
      </w:r>
    </w:p>
    <w:p w:rsidR="000724D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724DA" w:rsidP="00E113C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>Ressaltamos</w:t>
      </w:r>
      <w:r w:rsidR="00E113CF">
        <w:rPr>
          <w:rFonts w:asciiTheme="majorHAnsi" w:hAnsiTheme="majorHAnsi" w:cstheme="majorHAnsi"/>
        </w:rPr>
        <w:t xml:space="preserve"> que o parágrafo único do mesmo artigo, determina também que </w:t>
      </w:r>
      <w:r w:rsidRPr="00E113CF" w:rsidR="00E113CF">
        <w:rPr>
          <w:rFonts w:asciiTheme="majorHAnsi" w:hAnsiTheme="majorHAnsi" w:cstheme="majorHAnsi"/>
          <w:i/>
        </w:rPr>
        <w:t>“...A previsão das fontes constantes deste artigo não impõe a realização de despesas, a abertura de créditos ou a inclusão automática de dotações nas leis orçamentárias</w:t>
      </w:r>
      <w:r w:rsidR="00E113CF">
        <w:rPr>
          <w:rFonts w:asciiTheme="majorHAnsi" w:hAnsiTheme="majorHAnsi" w:cstheme="majorHAnsi"/>
          <w:i/>
        </w:rPr>
        <w:t>”.</w:t>
      </w:r>
    </w:p>
    <w:p w:rsidR="00E113CF" w:rsidP="00E113CF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i/>
        </w:rPr>
      </w:pPr>
    </w:p>
    <w:p w:rsidR="00E113CF" w:rsidRPr="00E113CF" w:rsidP="00E113CF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E113CF">
        <w:rPr>
          <w:rFonts w:asciiTheme="majorHAnsi" w:hAnsiTheme="majorHAnsi" w:cstheme="majorHAnsi"/>
        </w:rPr>
        <w:t>Desse modo, a enumeração das possíveis fontes de recursos não representa autorização automática para a realização de despesas, nem garante que todas as modalidades do programa serão executadas com recursos próprios do Município.</w:t>
      </w:r>
    </w:p>
    <w:p w:rsidR="00E113CF" w:rsidRPr="00E113CF" w:rsidP="00E113CF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E113CF" w:rsidP="00E113C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E113CF">
        <w:rPr>
          <w:rFonts w:asciiTheme="majorHAnsi" w:hAnsiTheme="majorHAnsi" w:cstheme="majorHAnsi"/>
        </w:rPr>
        <w:t>A efetiva utilização de cada fonte dependerá da existência de recursos, da finalidade legalmente admitida, da previsão orçamentária e do cumprimento dos requisitos próprios de cada instrumento.</w:t>
      </w:r>
    </w:p>
    <w:p w:rsidR="00E113CF" w:rsidP="00E113C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E113CF" w:rsidRPr="00E113CF" w:rsidP="00E113C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Válido reforçar ainda, que o Art. 15, mais uma vez consolida a salvaguarda financeira da proposição quando dispõe que </w:t>
      </w:r>
      <w:r w:rsidRPr="00E113CF">
        <w:rPr>
          <w:rFonts w:asciiTheme="majorHAnsi" w:hAnsiTheme="majorHAnsi" w:cstheme="majorHAnsi"/>
          <w:i/>
        </w:rPr>
        <w:t>“...execução das ações previstas nesta Lei observará as disponibilidades orçamentárias e financeiras, as leis orçamentárias e a legislação de responsabilidade fiscal, não decorrendo desta Lei obrigação de implementação imediata de qualquer modalidade de atendimento</w:t>
      </w:r>
      <w:r>
        <w:rPr>
          <w:rFonts w:asciiTheme="majorHAnsi" w:hAnsiTheme="majorHAnsi" w:cstheme="majorHAnsi"/>
          <w:i/>
        </w:rPr>
        <w:t>”</w:t>
      </w:r>
    </w:p>
    <w:p w:rsidR="000724D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502AE9">
        <w:rPr>
          <w:rFonts w:asciiTheme="majorHAnsi" w:hAnsiTheme="majorHAnsi" w:cstheme="majorHAnsi"/>
        </w:rPr>
        <w:t xml:space="preserve">Diante </w:t>
      </w:r>
      <w:r w:rsidR="00E113CF">
        <w:rPr>
          <w:rFonts w:asciiTheme="majorHAnsi" w:hAnsiTheme="majorHAnsi" w:cstheme="majorHAnsi"/>
        </w:rPr>
        <w:t xml:space="preserve">de todo o exposto, considerando a relevância habitacional da proposta como um importante instrumento de política social, e que, </w:t>
      </w:r>
      <w:r w:rsidRPr="00A35C6B" w:rsidR="00A35C6B">
        <w:rPr>
          <w:rFonts w:asciiTheme="majorHAnsi" w:hAnsiTheme="majorHAnsi" w:cstheme="majorHAnsi"/>
        </w:rPr>
        <w:t xml:space="preserve">do ponto de vista financeiro, a propositura não gera, neste momento, despesas obrigatórias ou de caráter continuado, cuja criação dependeria da prévia </w:t>
      </w:r>
      <w:r w:rsidR="00A35C6B">
        <w:rPr>
          <w:rFonts w:asciiTheme="majorHAnsi" w:hAnsiTheme="majorHAnsi" w:cstheme="majorHAnsi"/>
        </w:rPr>
        <w:t xml:space="preserve">avaliação do impacto financeiro, </w:t>
      </w:r>
      <w:r w:rsidR="00E113CF">
        <w:rPr>
          <w:rFonts w:asciiTheme="majorHAnsi" w:hAnsiTheme="majorHAnsi" w:cstheme="majorHAnsi"/>
        </w:rPr>
        <w:t>esta</w:t>
      </w:r>
      <w:r w:rsidR="00A35C6B">
        <w:rPr>
          <w:rFonts w:asciiTheme="majorHAnsi" w:hAnsiTheme="majorHAnsi" w:cstheme="majorHAnsi"/>
        </w:rPr>
        <w:t xml:space="preserve"> Comissão conclui</w:t>
      </w:r>
      <w:r w:rsidR="00E113CF">
        <w:rPr>
          <w:rFonts w:asciiTheme="majorHAnsi" w:hAnsiTheme="majorHAnsi" w:cstheme="majorHAnsi"/>
        </w:rPr>
        <w:t xml:space="preserve"> que a proposta </w:t>
      </w:r>
      <w:r w:rsidRPr="00502AE9">
        <w:rPr>
          <w:rFonts w:asciiTheme="majorHAnsi" w:hAnsiTheme="majorHAnsi" w:cstheme="majorHAnsi"/>
        </w:rPr>
        <w:t>não apresenta óbices de natureza orçamentária ou financeira para sua regular tramitação.</w:t>
      </w:r>
    </w:p>
    <w:p w:rsidR="00502AE9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RPr="00D677F3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III. Substitutivos, Emendas 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</w:t>
      </w:r>
      <w:r w:rsidR="00E113CF">
        <w:rPr>
          <w:rFonts w:asciiTheme="majorHAnsi" w:hAnsiTheme="majorHAnsi" w:cstheme="majorHAnsi"/>
        </w:rPr>
        <w:t>Esta relatoria não propõe emendas ao Projeto de Lei</w:t>
      </w:r>
      <w:r w:rsidR="00A35C6B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04</w:t>
      </w:r>
      <w:r w:rsidR="00637C5F">
        <w:rPr>
          <w:rFonts w:asciiTheme="majorHAnsi" w:hAnsiTheme="majorHAnsi" w:cstheme="majorHAnsi"/>
        </w:rPr>
        <w:t xml:space="preserve"> de </w:t>
      </w:r>
      <w:r>
        <w:rPr>
          <w:rFonts w:asciiTheme="majorHAnsi" w:hAnsiTheme="majorHAnsi" w:cstheme="majorHAnsi"/>
        </w:rPr>
        <w:t>setembro</w:t>
      </w:r>
      <w:r w:rsidR="00502AE9">
        <w:rPr>
          <w:rFonts w:asciiTheme="majorHAnsi" w:hAnsiTheme="majorHAnsi" w:cstheme="majorHAnsi"/>
        </w:rPr>
        <w:t xml:space="preserve"> de 2026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PARECER FAVORÁVEL DA COMISSÃO DE FINANÇAS E ORÇAMENTO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>Seguindo o Voto exarado pela Relatora e conforme determina o artigo 37, da Resoluçã</w:t>
      </w:r>
      <w:r w:rsidR="00A35C6B">
        <w:rPr>
          <w:rFonts w:asciiTheme="majorHAnsi" w:hAnsiTheme="majorHAnsi" w:cstheme="majorHAnsi"/>
        </w:rPr>
        <w:t>o Nº 276 de 09 de novembro de 2</w:t>
      </w:r>
      <w:r w:rsidRPr="00D677F3">
        <w:rPr>
          <w:rFonts w:asciiTheme="majorHAnsi" w:hAnsiTheme="majorHAnsi" w:cstheme="majorHAnsi"/>
        </w:rPr>
        <w:t xml:space="preserve">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E113CF">
        <w:rPr>
          <w:rFonts w:asciiTheme="majorHAnsi" w:hAnsiTheme="majorHAnsi" w:cstheme="majorHAnsi"/>
        </w:rPr>
        <w:t>missões, em 04</w:t>
      </w:r>
      <w:r w:rsidR="00637C5F">
        <w:rPr>
          <w:rFonts w:asciiTheme="majorHAnsi" w:hAnsiTheme="majorHAnsi" w:cstheme="majorHAnsi"/>
        </w:rPr>
        <w:t xml:space="preserve"> de </w:t>
      </w:r>
      <w:r w:rsidR="00E113CF">
        <w:rPr>
          <w:rFonts w:asciiTheme="majorHAnsi" w:hAnsiTheme="majorHAnsi" w:cstheme="majorHAnsi"/>
        </w:rPr>
        <w:t>setembro</w:t>
      </w:r>
      <w:r w:rsidR="00502AE9">
        <w:rPr>
          <w:rFonts w:asciiTheme="majorHAnsi" w:hAnsiTheme="majorHAnsi" w:cstheme="majorHAnsi"/>
        </w:rPr>
        <w:t xml:space="preserve"> de 2026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02AE9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</w:t>
      </w:r>
      <w:bookmarkStart w:id="0" w:name="_GoBack"/>
      <w:bookmarkEnd w:id="0"/>
      <w:r w:rsidRPr="00D677F3">
        <w:rPr>
          <w:rFonts w:asciiTheme="majorHAnsi" w:hAnsiTheme="majorHAnsi" w:cstheme="majorHAnsi"/>
          <w:b/>
        </w:rPr>
        <w:t xml:space="preserve">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B6406"/>
    <w:multiLevelType w:val="hybridMultilevel"/>
    <w:tmpl w:val="1BA62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938C4"/>
    <w:multiLevelType w:val="hybridMultilevel"/>
    <w:tmpl w:val="E94A6B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217F85"/>
    <w:multiLevelType w:val="hybridMultilevel"/>
    <w:tmpl w:val="D30AD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2"/>
  </w:num>
  <w:num w:numId="17">
    <w:abstractNumId w:val="20"/>
  </w:num>
  <w:num w:numId="18">
    <w:abstractNumId w:val="5"/>
  </w:num>
  <w:num w:numId="19">
    <w:abstractNumId w:val="2"/>
  </w:num>
  <w:num w:numId="20">
    <w:abstractNumId w:val="18"/>
  </w:num>
  <w:num w:numId="21">
    <w:abstractNumId w:val="17"/>
  </w:num>
  <w:num w:numId="22">
    <w:abstractNumId w:val="23"/>
  </w:num>
  <w:num w:numId="23">
    <w:abstractNumId w:val="19"/>
  </w:num>
  <w:num w:numId="24">
    <w:abstractNumId w:val="1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7A9B"/>
    <w:rsid w:val="00064FC8"/>
    <w:rsid w:val="00070FE7"/>
    <w:rsid w:val="00071EF2"/>
    <w:rsid w:val="000724DA"/>
    <w:rsid w:val="00072EB5"/>
    <w:rsid w:val="0008150E"/>
    <w:rsid w:val="00092E53"/>
    <w:rsid w:val="00096F36"/>
    <w:rsid w:val="000A1BE0"/>
    <w:rsid w:val="000B1C6D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71AC"/>
    <w:rsid w:val="002F3157"/>
    <w:rsid w:val="002F6A2F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6D21"/>
    <w:rsid w:val="003E5A51"/>
    <w:rsid w:val="003E60A2"/>
    <w:rsid w:val="003F0B47"/>
    <w:rsid w:val="003F64A5"/>
    <w:rsid w:val="00405098"/>
    <w:rsid w:val="00423EBB"/>
    <w:rsid w:val="00443CCB"/>
    <w:rsid w:val="00446FA1"/>
    <w:rsid w:val="004557B8"/>
    <w:rsid w:val="00456770"/>
    <w:rsid w:val="00472595"/>
    <w:rsid w:val="00484E11"/>
    <w:rsid w:val="00493896"/>
    <w:rsid w:val="004B3FD2"/>
    <w:rsid w:val="004B6FDF"/>
    <w:rsid w:val="004C0017"/>
    <w:rsid w:val="004C076A"/>
    <w:rsid w:val="004D46DA"/>
    <w:rsid w:val="004E6092"/>
    <w:rsid w:val="00502AE9"/>
    <w:rsid w:val="005242B1"/>
    <w:rsid w:val="00543E03"/>
    <w:rsid w:val="005559D9"/>
    <w:rsid w:val="0055728D"/>
    <w:rsid w:val="00560549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31E8C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11C4"/>
    <w:rsid w:val="00842408"/>
    <w:rsid w:val="00855DD2"/>
    <w:rsid w:val="008641BE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53E6B"/>
    <w:rsid w:val="0098102A"/>
    <w:rsid w:val="00983B49"/>
    <w:rsid w:val="009D4F58"/>
    <w:rsid w:val="009D56B8"/>
    <w:rsid w:val="009D6B7C"/>
    <w:rsid w:val="00A00E3E"/>
    <w:rsid w:val="00A12DD9"/>
    <w:rsid w:val="00A164DC"/>
    <w:rsid w:val="00A23604"/>
    <w:rsid w:val="00A2712E"/>
    <w:rsid w:val="00A27446"/>
    <w:rsid w:val="00A35C6B"/>
    <w:rsid w:val="00A672C0"/>
    <w:rsid w:val="00A92E38"/>
    <w:rsid w:val="00AB5B37"/>
    <w:rsid w:val="00AD2770"/>
    <w:rsid w:val="00AE4353"/>
    <w:rsid w:val="00AE5858"/>
    <w:rsid w:val="00AF0C05"/>
    <w:rsid w:val="00AF3296"/>
    <w:rsid w:val="00AF4AC7"/>
    <w:rsid w:val="00B25671"/>
    <w:rsid w:val="00B47859"/>
    <w:rsid w:val="00B57090"/>
    <w:rsid w:val="00BA48C7"/>
    <w:rsid w:val="00BE41D6"/>
    <w:rsid w:val="00BE68FF"/>
    <w:rsid w:val="00BE6938"/>
    <w:rsid w:val="00BF2A6F"/>
    <w:rsid w:val="00BF47AD"/>
    <w:rsid w:val="00BF79C1"/>
    <w:rsid w:val="00C00566"/>
    <w:rsid w:val="00C10154"/>
    <w:rsid w:val="00C31C89"/>
    <w:rsid w:val="00C74E3F"/>
    <w:rsid w:val="00C7597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E2A9A"/>
    <w:rsid w:val="00DF605F"/>
    <w:rsid w:val="00E113C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CA440-764C-4B97-ABBA-F1B86356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1340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2026-09-04T19:09:00Z</dcterms:created>
  <dcterms:modified xsi:type="dcterms:W3CDTF">2026-09-04T19:16:00Z</dcterms:modified>
</cp:coreProperties>
</file>