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5F2BDC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94</w:t>
      </w: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/2026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112</w:t>
      </w:r>
      <w:r w:rsidR="00927DD0">
        <w:rPr>
          <w:rFonts w:ascii="Calibri" w:hAnsi="Calibri"/>
          <w:b/>
          <w:color w:val="000000"/>
          <w:sz w:val="24"/>
          <w:szCs w:val="24"/>
        </w:rPr>
        <w:t>/2026</w:t>
      </w:r>
    </w:p>
    <w:p w:rsidR="00927DD0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</w:p>
    <w:p w:rsidR="008615FD" w:rsidP="00927DD0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897763">
        <w:rPr>
          <w:rFonts w:ascii="Calibri" w:hAnsi="Calibri"/>
          <w:color w:val="000000"/>
          <w:sz w:val="24"/>
          <w:szCs w:val="24"/>
        </w:rPr>
        <w:t>Conforme determinam os artigos 35 e 37 da Resolução nº 276, de 09 de novembro de 2010 – Regimento Interno da Câmara Municipal, as Comissões Permanentes de Justiça e Redação e de Finanças e Orçamento, em análise conjunta, emitem o presente relatóri</w:t>
      </w:r>
      <w:r w:rsidR="005F2BDC">
        <w:rPr>
          <w:rFonts w:ascii="Calibri" w:hAnsi="Calibri"/>
          <w:color w:val="000000"/>
          <w:sz w:val="24"/>
          <w:szCs w:val="24"/>
        </w:rPr>
        <w:t>o acerca do Projeto de Lei nº 94</w:t>
      </w:r>
      <w:r w:rsidRPr="00897763">
        <w:rPr>
          <w:rFonts w:ascii="Calibri" w:hAnsi="Calibri"/>
          <w:color w:val="000000"/>
          <w:sz w:val="24"/>
          <w:szCs w:val="24"/>
        </w:rPr>
        <w:t>/2026, de autoria do Prefeito Municipal Dr. Paulo de Oliveira e Silva, sob relatoria da Vereadora Mara Cristina Choquetta.</w:t>
      </w:r>
    </w:p>
    <w:p w:rsidR="00927DD0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5F2BDC" w:rsidRPr="005F2BDC" w:rsidP="005F2BDC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5F2BDC">
        <w:rPr>
          <w:rFonts w:ascii="Calibri" w:hAnsi="Calibri"/>
          <w:color w:val="000000"/>
          <w:sz w:val="24"/>
          <w:szCs w:val="24"/>
        </w:rPr>
        <w:t>O Chefe do Poder Executivo encaminhou a esta Casa Legislativa o Projeto de Lei nº 94/2026, que propõe alterações em dispositivos e nos Anexos V e VI da Lei Municipal nº 7.069/2026, correspondente à Lei de Diretrizes Orçamentárias — LDO para o exercício de 2027.</w:t>
      </w:r>
    </w:p>
    <w:p w:rsidR="005F2BDC" w:rsidRPr="005F2BDC" w:rsidP="005F2BDC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Conforme consta da Mensagem nº 053/26, o Prefeito esclarece que as alterações propostas decorrem da necessidade de promover ajustes técnicos na legislação orçamentária aprovada, de modo a restabelecer a compatibilidade entre a LDO, o Plano Plurianual — PPA 2026-2029, a Lei Orçamentária Anual em elaboração e as normas de responsabilidade fiscal.</w:t>
      </w:r>
    </w:p>
    <w:p w:rsidR="005F2BDC" w:rsidRPr="005F2BDC" w:rsidP="005F2BDC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Segundo a justificativa do Executivo, durante a tramitação da LDO foram apresentadas emendas parlamentares que, embora destinadas ao aperfeiçoamento das prioridades e ações governamentais, produziram alterações que precisam ser revistas sob os aspectos técnico, financeiro e operacional.</w:t>
      </w:r>
    </w:p>
    <w:p w:rsidR="005F2BDC" w:rsidP="005F2BDC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O autor sustenta que determinados remanejamentos:</w:t>
      </w:r>
    </w:p>
    <w:p w:rsidR="005F2BDC" w:rsidP="005F2BDC">
      <w:pPr>
        <w:pStyle w:val="BodyText"/>
        <w:numPr>
          <w:ilvl w:val="0"/>
          <w:numId w:val="12"/>
        </w:numPr>
        <w:spacing w:before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N</w:t>
      </w:r>
      <w:r w:rsidRPr="005F2BDC">
        <w:rPr>
          <w:rFonts w:ascii="Calibri" w:hAnsi="Calibri"/>
          <w:color w:val="000000"/>
          <w:sz w:val="24"/>
          <w:szCs w:val="24"/>
        </w:rPr>
        <w:t>ão observaram integralmente as vinculações programáticas e as fontes de financiamento previstas no PPA 2026-2029;</w:t>
      </w:r>
    </w:p>
    <w:p w:rsidR="005F2BDC" w:rsidP="005F2BDC">
      <w:pPr>
        <w:pStyle w:val="BodyText"/>
        <w:numPr>
          <w:ilvl w:val="0"/>
          <w:numId w:val="12"/>
        </w:numPr>
        <w:spacing w:before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direcionaram</w:t>
      </w:r>
      <w:r w:rsidRPr="005F2BDC">
        <w:rPr>
          <w:rFonts w:ascii="Calibri" w:hAnsi="Calibri"/>
          <w:color w:val="000000"/>
          <w:sz w:val="24"/>
          <w:szCs w:val="24"/>
        </w:rPr>
        <w:t xml:space="preserve"> recursos para ações sem a correspondente contrapartida orçamentária ou sem demonstração suficiente de capacidade operacional;</w:t>
      </w:r>
    </w:p>
    <w:p w:rsidR="005F2BDC" w:rsidP="005F2BDC">
      <w:pPr>
        <w:pStyle w:val="BodyText"/>
        <w:numPr>
          <w:ilvl w:val="0"/>
          <w:numId w:val="12"/>
        </w:numPr>
        <w:spacing w:before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poderiam</w:t>
      </w:r>
      <w:r w:rsidRPr="005F2BDC">
        <w:rPr>
          <w:rFonts w:ascii="Calibri" w:hAnsi="Calibri"/>
          <w:color w:val="000000"/>
          <w:sz w:val="24"/>
          <w:szCs w:val="24"/>
        </w:rPr>
        <w:t xml:space="preserve"> comprometer ações estruturantes, contratos em andamento e despesas de caráter continuado;</w:t>
      </w:r>
    </w:p>
    <w:p w:rsidR="005F2BDC" w:rsidP="005F2BDC">
      <w:pPr>
        <w:pStyle w:val="BodyText"/>
        <w:numPr>
          <w:ilvl w:val="0"/>
          <w:numId w:val="12"/>
        </w:numPr>
        <w:spacing w:before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poderiam</w:t>
      </w:r>
      <w:r w:rsidRPr="005F2BDC">
        <w:rPr>
          <w:rFonts w:ascii="Calibri" w:hAnsi="Calibri"/>
          <w:color w:val="000000"/>
          <w:sz w:val="24"/>
          <w:szCs w:val="24"/>
        </w:rPr>
        <w:t xml:space="preserve"> exigir suplementações extraordinárias durante a execução orçamentária;</w:t>
      </w:r>
    </w:p>
    <w:p w:rsidR="005F2BDC" w:rsidRPr="005F2BDC" w:rsidP="005F2BDC">
      <w:pPr>
        <w:pStyle w:val="BodyText"/>
        <w:numPr>
          <w:ilvl w:val="0"/>
          <w:numId w:val="12"/>
        </w:numPr>
        <w:spacing w:before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poderiam</w:t>
      </w:r>
      <w:r w:rsidRPr="005F2BDC">
        <w:rPr>
          <w:rFonts w:ascii="Calibri" w:hAnsi="Calibri"/>
          <w:color w:val="000000"/>
          <w:sz w:val="24"/>
          <w:szCs w:val="24"/>
        </w:rPr>
        <w:t xml:space="preserve"> gerar incompatibilidades entre a LDO, o PPA, a futura LOA e a Lei de Responsabilidade Fiscal.</w:t>
      </w:r>
    </w:p>
    <w:p w:rsidR="005F2BDC" w:rsidP="005F2BDC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</w:p>
    <w:p w:rsidR="005F2BDC" w:rsidRPr="005F2BDC" w:rsidP="005F2BDC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A Mensagem nº 053/26 ressalta, ainda, que a alteração legislativa pretende preservar a coerência do sistema de planejamento municipal, evitando que a LDO contenha previsões incompatíveis com as fontes efetivas de financiamento, com a capacidade de execução dos órgãos municipais ou com as metas fiscais estabelecidas para o período.</w:t>
      </w:r>
    </w:p>
    <w:p w:rsidR="005F2BDC" w:rsidRPr="005F2BDC" w:rsidP="005F2BDC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O Poder Executivo afirma que a medida não tem por finalidade afastar a participação do Poder Legislativo no processo de planejamento orçamentário, mas corrigir inconsistências identificadas após a aprovação da LDO, assegurando maior segurança jurídica, previsibilidade financeira e possibilidade de execução das ações previstas.</w:t>
      </w:r>
    </w:p>
    <w:p w:rsidR="00927DD0" w:rsidP="005F2BDC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A proposição, portanto, possui natureza corretiva e busca adequar os dispositivos e os Anexos V e VI da Lei Municipal nº 7.069/2026 à realidade orçamentária e financeira do Município.</w:t>
      </w:r>
    </w:p>
    <w:p w:rsidR="00D948BC" w:rsidP="006A4A2F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 w:rsidP="006A4A2F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</w:t>
      </w:r>
      <w:r w:rsidRPr="00A77DA2" w:rsidR="00191C28">
        <w:rPr>
          <w:rFonts w:ascii="Calibri" w:hAnsi="Calibri"/>
          <w:b/>
          <w:color w:val="000000"/>
          <w:sz w:val="24"/>
          <w:szCs w:val="24"/>
        </w:rPr>
        <w:t>. DO MÉRITO E CONCLUSÕES DA RELATORA</w:t>
      </w:r>
    </w:p>
    <w:p w:rsidR="005F2BDC" w:rsidRPr="005F2BDC" w:rsidP="005F2BDC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6A4A2F" w:rsidR="006A4A2F">
        <w:rPr>
          <w:rFonts w:ascii="Calibri" w:hAnsi="Calibri"/>
          <w:color w:val="000000"/>
          <w:sz w:val="24"/>
          <w:szCs w:val="24"/>
        </w:rPr>
        <w:t xml:space="preserve">Inicialmente, </w:t>
      </w:r>
      <w:r w:rsidR="00444CC7">
        <w:rPr>
          <w:rFonts w:ascii="Calibri" w:hAnsi="Calibri"/>
          <w:color w:val="000000"/>
          <w:sz w:val="24"/>
          <w:szCs w:val="24"/>
        </w:rPr>
        <w:t>i</w:t>
      </w:r>
      <w:r>
        <w:rPr>
          <w:rFonts w:ascii="Calibri" w:hAnsi="Calibri"/>
          <w:color w:val="000000"/>
          <w:sz w:val="24"/>
          <w:szCs w:val="24"/>
        </w:rPr>
        <w:t xml:space="preserve">mportante lembrar que a </w:t>
      </w:r>
      <w:r w:rsidRPr="005F2BDC">
        <w:rPr>
          <w:rFonts w:ascii="Calibri" w:hAnsi="Calibri"/>
          <w:color w:val="000000"/>
          <w:sz w:val="24"/>
          <w:szCs w:val="24"/>
        </w:rPr>
        <w:t>Lei de Diretrizes Orçamentárias constitui instrumento intermediário entre o Plano Plurianual e a Lei Orçamentária Anual, orientando a elaboração do orçamento e estabelecendo metas, prioridades, diretrizes e parâmetros para a execução das políticas públicas.</w:t>
      </w:r>
    </w:p>
    <w:p w:rsidR="00D948BC" w:rsidP="005F2BD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5F2BDC">
        <w:rPr>
          <w:rFonts w:ascii="Calibri" w:hAnsi="Calibri"/>
          <w:color w:val="000000"/>
          <w:sz w:val="24"/>
          <w:szCs w:val="24"/>
        </w:rPr>
        <w:t>A matéria encontra fundamento no artigo 165, § 2º, da Constituição Federal, segundo o qual a LDO compreenderá as metas e prioridades da Administração Pública, incluindo as despesas de capital para o exercício financeiro subsequente, orientará a elaboração da LOA e disporá sobre as alterações na legislação tributária.</w:t>
      </w: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Do ponto de vista da constitucionalidade e legalidade </w:t>
      </w:r>
      <w:r w:rsidRPr="00D948BC">
        <w:rPr>
          <w:rFonts w:ascii="Calibri" w:hAnsi="Calibri"/>
          <w:color w:val="000000"/>
          <w:sz w:val="24"/>
          <w:szCs w:val="24"/>
        </w:rPr>
        <w:t>A matéria foi submetida à análise da empresa de assessoria jurídica responsável pela emissão da Consulta nº 0340/2026, que se manifestou favoravelmente quanto à legalidade e à viabilidade jurídica do Projeto de Lei nº 94/2026</w:t>
      </w:r>
      <w:r>
        <w:rPr>
          <w:rFonts w:ascii="Calibri" w:hAnsi="Calibri"/>
          <w:color w:val="000000"/>
          <w:sz w:val="24"/>
          <w:szCs w:val="24"/>
        </w:rPr>
        <w:t>;</w:t>
      </w: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A assessoria jurídica reconheceu que é juridicamente possível ao Poder Executivo propor alterações em lei orçamentária já aprovada, especialmente quando identificada a necessidade de:</w:t>
      </w:r>
    </w:p>
    <w:p w:rsidR="00D948BC" w:rsidRPr="00D948BC" w:rsidP="00D948BC">
      <w:pPr>
        <w:pStyle w:val="BodyText"/>
        <w:numPr>
          <w:ilvl w:val="0"/>
          <w:numId w:val="13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C</w:t>
      </w:r>
      <w:r w:rsidRPr="00D948BC">
        <w:rPr>
          <w:rFonts w:ascii="Calibri" w:hAnsi="Calibri"/>
          <w:color w:val="000000"/>
          <w:sz w:val="24"/>
          <w:szCs w:val="24"/>
        </w:rPr>
        <w:t>orrigir inconsistências técnicas;</w:t>
      </w:r>
    </w:p>
    <w:p w:rsidR="00D948BC" w:rsidRPr="00D948BC" w:rsidP="00D948BC">
      <w:pPr>
        <w:pStyle w:val="BodyText"/>
        <w:numPr>
          <w:ilvl w:val="0"/>
          <w:numId w:val="13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</w:t>
      </w:r>
      <w:r w:rsidRPr="00D948BC">
        <w:rPr>
          <w:rFonts w:ascii="Calibri" w:hAnsi="Calibri"/>
          <w:color w:val="000000"/>
          <w:sz w:val="24"/>
          <w:szCs w:val="24"/>
        </w:rPr>
        <w:t>dequar a legislação à realidade financeira do Município;</w:t>
      </w:r>
    </w:p>
    <w:p w:rsidR="00D948BC" w:rsidRPr="00D948BC" w:rsidP="00D948BC">
      <w:pPr>
        <w:pStyle w:val="BodyText"/>
        <w:numPr>
          <w:ilvl w:val="0"/>
          <w:numId w:val="13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R</w:t>
      </w:r>
      <w:r w:rsidRPr="00D948BC">
        <w:rPr>
          <w:rFonts w:ascii="Calibri" w:hAnsi="Calibri"/>
          <w:color w:val="000000"/>
          <w:sz w:val="24"/>
          <w:szCs w:val="24"/>
        </w:rPr>
        <w:t>estabelecer a compatibilidade com o PPA;</w:t>
      </w:r>
    </w:p>
    <w:p w:rsidR="00D948BC" w:rsidRPr="00D948BC" w:rsidP="00D948BC">
      <w:pPr>
        <w:pStyle w:val="BodyText"/>
        <w:numPr>
          <w:ilvl w:val="0"/>
          <w:numId w:val="13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C</w:t>
      </w:r>
      <w:r w:rsidRPr="00D948BC">
        <w:rPr>
          <w:rFonts w:ascii="Calibri" w:hAnsi="Calibri"/>
          <w:color w:val="000000"/>
          <w:sz w:val="24"/>
          <w:szCs w:val="24"/>
        </w:rPr>
        <w:t>ompatibilizar as diretrizes orçamentárias com a futura LOA;</w:t>
      </w:r>
    </w:p>
    <w:p w:rsidR="00D948BC" w:rsidRPr="00D948BC" w:rsidP="00D948BC">
      <w:pPr>
        <w:pStyle w:val="BodyText"/>
        <w:numPr>
          <w:ilvl w:val="0"/>
          <w:numId w:val="13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P</w:t>
      </w:r>
      <w:r w:rsidRPr="00D948BC">
        <w:rPr>
          <w:rFonts w:ascii="Calibri" w:hAnsi="Calibri"/>
          <w:color w:val="000000"/>
          <w:sz w:val="24"/>
          <w:szCs w:val="24"/>
        </w:rPr>
        <w:t>reservar o equilíbrio das contas públicas;</w:t>
      </w:r>
    </w:p>
    <w:p w:rsidR="00D948BC" w:rsidP="00D948BC">
      <w:pPr>
        <w:pStyle w:val="BodyText"/>
        <w:numPr>
          <w:ilvl w:val="0"/>
          <w:numId w:val="13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C</w:t>
      </w:r>
      <w:r w:rsidRPr="00D948BC">
        <w:rPr>
          <w:rFonts w:ascii="Calibri" w:hAnsi="Calibri"/>
          <w:color w:val="000000"/>
          <w:sz w:val="24"/>
          <w:szCs w:val="24"/>
        </w:rPr>
        <w:t>orrigir distorções ou omissões verificadas durante a execução do planejamento.</w:t>
      </w:r>
    </w:p>
    <w:p w:rsidR="00D948BC" w:rsidRPr="00D948BC" w:rsidP="00D948BC">
      <w:pPr>
        <w:pStyle w:val="BodyText"/>
        <w:spacing w:before="240" w:after="240"/>
        <w:ind w:left="1429"/>
        <w:contextualSpacing/>
        <w:jc w:val="both"/>
        <w:rPr>
          <w:rFonts w:ascii="Calibri" w:hAnsi="Calibri"/>
          <w:color w:val="000000"/>
          <w:sz w:val="24"/>
          <w:szCs w:val="24"/>
        </w:rPr>
      </w:pP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A manifestação jurídica também reconheceu que a matéria é de iniciativa privativa do Chefe do Poder Executivo, por tratar de legislação orçamentária e de alterações em instrumento de planejamento municipal.</w:t>
      </w: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Segundo a assessoria, não há vício de competência ou de iniciativa na proposição, uma vez que o Projeto de Lei nº 94/2026 foi encaminhado pelo Prefeito Municipal, autoridade constitucional e legalmente competente para propor alterações na Lei de Diretrizes Orçamentárias.</w:t>
      </w: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A assessoria jurídica também ressalvou que o Poder Legislativo mantém a prerrogativa de apresentar emendas às peças orçamentárias, desde que respeitados os limites estabelecidos na Constituição Federal, na Lei Orgânica do Município, no Regimento Interno e na legislação de responsabilidade fiscal.</w:t>
      </w:r>
    </w:p>
    <w:p w:rsid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Assim, a manifestação jurídica concluiu pela viabilidade da tramitação do projeto, cabendo às Comissões e ao Plenário a análise de sua conveniência, oportunidade e adequação orçamentária.</w:t>
      </w:r>
    </w:p>
    <w:p w:rsidR="005F2BDC" w:rsidP="00760D70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Ainda neste quesito o artigo 51 da</w:t>
      </w:r>
      <w:r w:rsidRPr="00D948BC">
        <w:rPr>
          <w:rFonts w:ascii="Calibri" w:hAnsi="Calibri"/>
          <w:color w:val="000000"/>
          <w:sz w:val="24"/>
          <w:szCs w:val="24"/>
        </w:rPr>
        <w:t xml:space="preserve"> Lei Orgânica</w:t>
      </w:r>
      <w:r>
        <w:rPr>
          <w:rFonts w:ascii="Calibri" w:hAnsi="Calibri"/>
          <w:color w:val="000000"/>
          <w:sz w:val="24"/>
          <w:szCs w:val="24"/>
        </w:rPr>
        <w:t xml:space="preserve"> prevê a exclusividade de iniciativa do Prefeito para a matéria orçamentária.</w:t>
      </w:r>
    </w:p>
    <w:p w:rsidR="00D948BC" w:rsidRPr="00D948BC" w:rsidP="00D948BC">
      <w:pPr>
        <w:pStyle w:val="BodyText"/>
        <w:spacing w:before="240" w:after="240"/>
        <w:ind w:left="3538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D948BC">
        <w:rPr>
          <w:rFonts w:ascii="Calibri" w:hAnsi="Calibri"/>
          <w:i/>
          <w:color w:val="000000"/>
          <w:sz w:val="22"/>
          <w:szCs w:val="24"/>
        </w:rPr>
        <w:t>“Art. 51. São de iniciativa exclusiva do Prefeito as leis que disponham sobre:</w:t>
      </w:r>
    </w:p>
    <w:p w:rsidR="00D948BC" w:rsidRPr="00D948BC" w:rsidP="00D948BC">
      <w:pPr>
        <w:pStyle w:val="BodyText"/>
        <w:spacing w:before="240" w:after="240"/>
        <w:ind w:left="3538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D948BC">
        <w:rPr>
          <w:rFonts w:ascii="Calibri" w:hAnsi="Calibri"/>
          <w:i/>
          <w:color w:val="000000"/>
          <w:sz w:val="22"/>
          <w:szCs w:val="24"/>
        </w:rPr>
        <w:t>(…)</w:t>
      </w:r>
    </w:p>
    <w:p w:rsidR="00D948BC" w:rsidRPr="00D948BC" w:rsidP="00D948BC">
      <w:pPr>
        <w:pStyle w:val="BodyText"/>
        <w:spacing w:before="240" w:after="240"/>
        <w:ind w:left="3538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D948BC">
        <w:rPr>
          <w:rFonts w:ascii="Calibri" w:hAnsi="Calibri"/>
          <w:i/>
          <w:color w:val="000000"/>
          <w:sz w:val="22"/>
          <w:szCs w:val="24"/>
        </w:rPr>
        <w:t xml:space="preserve">IV – matéria orçamentária e a que se autorize a abertura de créditos ou conceda auxílio, prêmios e </w:t>
      </w:r>
      <w:r w:rsidRPr="00D948BC">
        <w:rPr>
          <w:rFonts w:ascii="Calibri" w:hAnsi="Calibri"/>
          <w:i/>
          <w:color w:val="000000"/>
          <w:sz w:val="22"/>
          <w:szCs w:val="24"/>
        </w:rPr>
        <w:t>subvenções;”</w:t>
      </w:r>
    </w:p>
    <w:p w:rsidR="00D948BC" w:rsidP="00D948BC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A Lei Orgânica do Município também disciplina as condições para apresentação e aprovação de emendas aos projetos de natureza orçamentária.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D948BC">
        <w:rPr>
          <w:rFonts w:ascii="Calibri" w:hAnsi="Calibri"/>
          <w:color w:val="000000"/>
          <w:sz w:val="24"/>
          <w:szCs w:val="24"/>
        </w:rPr>
        <w:t>O artigo 139 estabelece:</w:t>
      </w:r>
    </w:p>
    <w:p w:rsidR="00D948BC" w:rsidRPr="00D948BC" w:rsidP="00D948BC">
      <w:pPr>
        <w:pStyle w:val="BodyText"/>
        <w:spacing w:before="240" w:after="240"/>
        <w:ind w:left="3540"/>
        <w:jc w:val="both"/>
        <w:rPr>
          <w:rFonts w:ascii="Calibri" w:hAnsi="Calibri"/>
          <w:i/>
          <w:color w:val="000000"/>
          <w:sz w:val="22"/>
          <w:szCs w:val="24"/>
        </w:rPr>
      </w:pPr>
      <w:r w:rsidRPr="00D948BC">
        <w:rPr>
          <w:rFonts w:ascii="Calibri" w:hAnsi="Calibri"/>
          <w:i/>
          <w:color w:val="000000"/>
          <w:sz w:val="22"/>
          <w:szCs w:val="24"/>
        </w:rPr>
        <w:t xml:space="preserve">“Art. 139. Os projetos de lei relativos ao orçamento anual, ao plano plurianual, às diretrizes orçamentárias e aos créditos adicionais terão a tramitação e serão apreciados pela Câmara Municipal na forma desta Lei Orgânica e de seu regimento </w:t>
      </w:r>
      <w:r w:rsidRPr="00D948BC">
        <w:rPr>
          <w:rFonts w:ascii="Calibri" w:hAnsi="Calibri"/>
          <w:i/>
          <w:color w:val="000000"/>
          <w:sz w:val="22"/>
          <w:szCs w:val="24"/>
        </w:rPr>
        <w:t>interno.”</w:t>
      </w:r>
    </w:p>
    <w:p w:rsidR="00D948BC" w:rsidRPr="00D948BC" w:rsidP="00D948BC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Quanto às emendas ao Projeto de Lei de Diretrizes Orçamentárias, o § 2º do mesmo artigo dispõe:</w:t>
      </w:r>
    </w:p>
    <w:p w:rsidR="00D948BC" w:rsidRPr="00D948BC" w:rsidP="00D948BC">
      <w:pPr>
        <w:pStyle w:val="BodyText"/>
        <w:spacing w:before="240" w:after="240"/>
        <w:ind w:left="2832"/>
        <w:jc w:val="both"/>
        <w:rPr>
          <w:rFonts w:ascii="Calibri" w:hAnsi="Calibri"/>
          <w:i/>
          <w:color w:val="000000"/>
          <w:sz w:val="22"/>
          <w:szCs w:val="24"/>
        </w:rPr>
      </w:pPr>
      <w:r w:rsidRPr="00D948BC">
        <w:rPr>
          <w:rFonts w:ascii="Calibri" w:hAnsi="Calibri"/>
          <w:i/>
          <w:color w:val="000000"/>
          <w:sz w:val="22"/>
          <w:szCs w:val="24"/>
        </w:rPr>
        <w:t xml:space="preserve">“§ 2º As emendas ao projeto de lei de diretrizes orçamentárias somente poderão ser aprovadas, quando compatíveis com o plano </w:t>
      </w:r>
      <w:r w:rsidRPr="00D948BC">
        <w:rPr>
          <w:rFonts w:ascii="Calibri" w:hAnsi="Calibri"/>
          <w:i/>
          <w:color w:val="000000"/>
          <w:sz w:val="22"/>
          <w:szCs w:val="24"/>
        </w:rPr>
        <w:t>plurianual.”</w:t>
      </w:r>
    </w:p>
    <w:p w:rsidR="005F2BD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 xml:space="preserve">A Lei Orgânica, portanto, assegura aos Vereadores a possibilidade de apresentar emendas à LDO, </w:t>
      </w:r>
      <w:r w:rsidRPr="00D948BC">
        <w:rPr>
          <w:rFonts w:ascii="Calibri" w:hAnsi="Calibri"/>
          <w:color w:val="000000"/>
          <w:sz w:val="24"/>
          <w:szCs w:val="24"/>
        </w:rPr>
        <w:t>MAS CONDICIONA SUA APROVAÇÃO À COMPATIBILIDADE COM O PPA VIGENTE.</w:t>
      </w: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Durante a análise do Projeto de Lei nº 48/2026, que originou a Lei de Diretrizes Orçamentári</w:t>
      </w:r>
      <w:r>
        <w:rPr>
          <w:rFonts w:ascii="Calibri" w:hAnsi="Calibri"/>
          <w:color w:val="000000"/>
          <w:sz w:val="24"/>
          <w:szCs w:val="24"/>
        </w:rPr>
        <w:t xml:space="preserve">as para o exercício de 2027, </w:t>
      </w:r>
      <w:r w:rsidRPr="00D948BC">
        <w:rPr>
          <w:rFonts w:ascii="Calibri" w:hAnsi="Calibri"/>
          <w:color w:val="000000"/>
          <w:sz w:val="24"/>
          <w:szCs w:val="24"/>
        </w:rPr>
        <w:t>a Comissão de Finanças e Orçamento já havia manifestado preocupação quanto às emendas apresentadas ao projeto.</w:t>
      </w:r>
    </w:p>
    <w:p w:rsid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No item III do parecer da LDO, esta Comissão registrou que as emendas ao Projeto de Lei de Diretrizes Orçamentárias somente poderiam ser aprovadas quando compatíveis com o Plano Plurianual, nos termos do artigo 139, § 2º, da Lei Orgânica do Município.</w:t>
      </w:r>
    </w:p>
    <w:p w:rsid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 xml:space="preserve">O parecer anterior advertiu que alterações significativas nos valores das ações poderiam comprometer despesas já assumidas pelo Município, especialmente aquelas relacionadas à manutenção de serviços públicos essenciais, contratos em andamento e </w:t>
      </w:r>
      <w:r>
        <w:rPr>
          <w:rFonts w:ascii="Calibri" w:hAnsi="Calibri"/>
          <w:color w:val="000000"/>
          <w:sz w:val="24"/>
          <w:szCs w:val="24"/>
        </w:rPr>
        <w:t>despesas de caráter continuado.</w:t>
      </w:r>
    </w:p>
    <w:p w:rsid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Também foi registrado que algumas emendas poderiam apresentar inconsistências técnicas o</w:t>
      </w:r>
      <w:r>
        <w:rPr>
          <w:rFonts w:ascii="Calibri" w:hAnsi="Calibri"/>
          <w:color w:val="000000"/>
          <w:sz w:val="24"/>
          <w:szCs w:val="24"/>
        </w:rPr>
        <w:t>u legais capazes de resultar em veto do Poder Executivo ou impedimento técnico de execução devido a incompatibilidade com o PPA</w:t>
      </w:r>
    </w:p>
    <w:p w:rsidR="00D948BC" w:rsidRPr="00D948BC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D948BC">
        <w:rPr>
          <w:rFonts w:ascii="Calibri" w:hAnsi="Calibri"/>
          <w:color w:val="000000"/>
          <w:sz w:val="24"/>
          <w:szCs w:val="24"/>
        </w:rPr>
        <w:t>A justificativa do Prefeito demonstra que parte das preocupações registradas no parecer da LDO se concretizou durante a análise técnica dos anexos e da preparação da LOA de 2027.</w:t>
      </w:r>
    </w:p>
    <w:p w:rsidR="00A207E6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Importante frisar, que conforme JÁ MENCIONADO NO PARECER ANTERIOR </w:t>
      </w:r>
      <w:r>
        <w:rPr>
          <w:rFonts w:ascii="Calibri" w:hAnsi="Calibri"/>
          <w:color w:val="000000"/>
          <w:sz w:val="24"/>
          <w:szCs w:val="24"/>
        </w:rPr>
        <w:t>a</w:t>
      </w:r>
      <w:r w:rsidRPr="00D948BC">
        <w:rPr>
          <w:rFonts w:ascii="Calibri" w:hAnsi="Calibri"/>
          <w:color w:val="000000"/>
          <w:sz w:val="24"/>
          <w:szCs w:val="24"/>
        </w:rPr>
        <w:t xml:space="preserve"> Comissão </w:t>
      </w:r>
      <w:r>
        <w:rPr>
          <w:rFonts w:ascii="Calibri" w:hAnsi="Calibri"/>
          <w:color w:val="000000"/>
          <w:sz w:val="24"/>
          <w:szCs w:val="24"/>
        </w:rPr>
        <w:t xml:space="preserve">de Finanças </w:t>
      </w:r>
      <w:r w:rsidRPr="00D948BC">
        <w:rPr>
          <w:rFonts w:ascii="Calibri" w:hAnsi="Calibri"/>
          <w:color w:val="000000"/>
          <w:sz w:val="24"/>
          <w:szCs w:val="24"/>
        </w:rPr>
        <w:t>reconhece que as emendas parlamentares apresentadas ao Projeto de Lei nº 48/2026 refletiram demandas legítimas da população e contribuíram para o debate democrático sobre as prioridades municipais. Contud</w:t>
      </w:r>
      <w:r>
        <w:rPr>
          <w:rFonts w:ascii="Calibri" w:hAnsi="Calibri"/>
          <w:color w:val="000000"/>
          <w:sz w:val="24"/>
          <w:szCs w:val="24"/>
        </w:rPr>
        <w:t>o, o mérito social d</w:t>
      </w:r>
      <w:r w:rsidRPr="00D948BC">
        <w:rPr>
          <w:rFonts w:ascii="Calibri" w:hAnsi="Calibri"/>
          <w:color w:val="000000"/>
          <w:sz w:val="24"/>
          <w:szCs w:val="24"/>
        </w:rPr>
        <w:t>a proposta não afasta a necessidade de compatibilidade com o planejamento, a disponibilidade financeira e a capacidade efetiva de execução</w:t>
      </w:r>
      <w:r>
        <w:rPr>
          <w:rFonts w:ascii="Calibri" w:hAnsi="Calibri"/>
          <w:color w:val="000000"/>
          <w:sz w:val="24"/>
          <w:szCs w:val="24"/>
        </w:rPr>
        <w:t>.</w:t>
      </w:r>
    </w:p>
    <w:p w:rsidR="00A207E6" w:rsidP="00D948BC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Desta forma, é possível entender que as </w:t>
      </w:r>
      <w:r w:rsidRPr="00A207E6">
        <w:rPr>
          <w:rFonts w:ascii="Calibri" w:hAnsi="Calibri"/>
          <w:color w:val="000000"/>
          <w:sz w:val="24"/>
          <w:szCs w:val="24"/>
        </w:rPr>
        <w:t>alterações propostas pelo Prefeito buscam corrigir situações em que determinados valores ou ações, segundo a análise técnica do Executivo, não estavam suficientemente</w:t>
      </w:r>
      <w:r w:rsidR="00511068">
        <w:rPr>
          <w:rFonts w:ascii="Calibri" w:hAnsi="Calibri"/>
          <w:color w:val="000000"/>
          <w:sz w:val="24"/>
          <w:szCs w:val="24"/>
        </w:rPr>
        <w:t xml:space="preserve"> apropriada</w:t>
      </w:r>
      <w:bookmarkStart w:id="1" w:name="_GoBack"/>
      <w:bookmarkEnd w:id="1"/>
      <w:r>
        <w:rPr>
          <w:rFonts w:ascii="Calibri" w:hAnsi="Calibri"/>
          <w:color w:val="000000"/>
          <w:sz w:val="24"/>
          <w:szCs w:val="24"/>
        </w:rPr>
        <w:t>s para sua execução.</w:t>
      </w:r>
    </w:p>
    <w:p w:rsidR="00511068" w:rsidP="00511068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</w:p>
    <w:p w:rsidR="00A207E6" w:rsidRPr="00A207E6" w:rsidP="00511068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A207E6">
        <w:rPr>
          <w:rFonts w:ascii="Calibri" w:hAnsi="Calibri"/>
          <w:color w:val="000000"/>
          <w:sz w:val="24"/>
          <w:szCs w:val="24"/>
        </w:rPr>
        <w:t>A manutenção de previsões incompatíveis poderia gerar: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</w:t>
      </w:r>
      <w:r w:rsidRPr="00A207E6">
        <w:rPr>
          <w:rFonts w:ascii="Calibri" w:hAnsi="Calibri"/>
          <w:color w:val="000000"/>
          <w:sz w:val="24"/>
          <w:szCs w:val="24"/>
        </w:rPr>
        <w:t>ificuldade de execução das ações;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N</w:t>
      </w:r>
      <w:r w:rsidRPr="00A207E6">
        <w:rPr>
          <w:rFonts w:ascii="Calibri" w:hAnsi="Calibri"/>
          <w:color w:val="000000"/>
          <w:sz w:val="24"/>
          <w:szCs w:val="24"/>
        </w:rPr>
        <w:t>ecessidade de suplementações extraordinárias;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R</w:t>
      </w:r>
      <w:r w:rsidRPr="00A207E6">
        <w:rPr>
          <w:rFonts w:ascii="Calibri" w:hAnsi="Calibri"/>
          <w:color w:val="000000"/>
          <w:sz w:val="24"/>
          <w:szCs w:val="24"/>
        </w:rPr>
        <w:t>edução de recursos de serviços essenciais;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P</w:t>
      </w:r>
      <w:r w:rsidRPr="00A207E6">
        <w:rPr>
          <w:rFonts w:ascii="Calibri" w:hAnsi="Calibri"/>
          <w:color w:val="000000"/>
          <w:sz w:val="24"/>
          <w:szCs w:val="24"/>
        </w:rPr>
        <w:t>aralisação ou comprometimento de contratos;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</w:t>
      </w:r>
      <w:r w:rsidRPr="00A207E6">
        <w:rPr>
          <w:rFonts w:ascii="Calibri" w:hAnsi="Calibri"/>
          <w:color w:val="000000"/>
          <w:sz w:val="24"/>
          <w:szCs w:val="24"/>
        </w:rPr>
        <w:t>esequilíbrio entre metas físicas e financeiras;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</w:t>
      </w:r>
      <w:r w:rsidRPr="00A207E6">
        <w:rPr>
          <w:rFonts w:ascii="Calibri" w:hAnsi="Calibri"/>
          <w:color w:val="000000"/>
          <w:sz w:val="24"/>
          <w:szCs w:val="24"/>
        </w:rPr>
        <w:t>ificuldades na elaboração da LOA;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</w:t>
      </w:r>
      <w:r w:rsidRPr="00A207E6">
        <w:rPr>
          <w:rFonts w:ascii="Calibri" w:hAnsi="Calibri"/>
          <w:color w:val="000000"/>
          <w:sz w:val="24"/>
          <w:szCs w:val="24"/>
        </w:rPr>
        <w:t>pontamentos pelos órgãos de controle;</w:t>
      </w:r>
    </w:p>
    <w:p w:rsidR="00A207E6" w:rsidRPr="00A207E6" w:rsidP="00A207E6">
      <w:pPr>
        <w:pStyle w:val="BodyText"/>
        <w:numPr>
          <w:ilvl w:val="0"/>
          <w:numId w:val="14"/>
        </w:numPr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R</w:t>
      </w:r>
      <w:r w:rsidRPr="00A207E6">
        <w:rPr>
          <w:rFonts w:ascii="Calibri" w:hAnsi="Calibri"/>
          <w:color w:val="000000"/>
          <w:sz w:val="24"/>
          <w:szCs w:val="24"/>
        </w:rPr>
        <w:t>isco de descumprimento das metas fiscais.</w:t>
      </w:r>
    </w:p>
    <w:p w:rsidR="00A207E6" w:rsidP="00A207E6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A207E6">
        <w:rPr>
          <w:rFonts w:ascii="Calibri" w:hAnsi="Calibri"/>
          <w:color w:val="000000"/>
          <w:sz w:val="24"/>
          <w:szCs w:val="24"/>
        </w:rPr>
        <w:t>Nesse sentido, a proposta apresenta finalidade preventiva e corretiva, buscando evitar que a legislação orçamentária contenha ações que não possam ser efetivamente executadas ou que comprometam outras prioridades municipais.</w:t>
      </w:r>
    </w:p>
    <w:p w:rsidR="00A207E6" w:rsidP="00A207E6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Por fim, as </w:t>
      </w:r>
      <w:r w:rsidRPr="00A207E6">
        <w:rPr>
          <w:rFonts w:ascii="Calibri" w:eastAsia="Arial" w:hAnsi="Calibri" w:cs="Arial"/>
          <w:color w:val="000000"/>
          <w:sz w:val="24"/>
          <w:szCs w:val="24"/>
        </w:rPr>
        <w:t>Comissões reconhecem que o Poder Legislativo exerce papel fundamental na discussão e no aperfeiç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oamento das leis orçamentárias. </w:t>
      </w:r>
      <w:r w:rsidRPr="00A207E6">
        <w:rPr>
          <w:rFonts w:ascii="Calibri" w:eastAsia="Arial" w:hAnsi="Calibri" w:cs="Arial"/>
          <w:color w:val="000000"/>
          <w:sz w:val="24"/>
          <w:szCs w:val="24"/>
        </w:rPr>
        <w:t>A apresentação de emendas pelos Vereadores representa instrumento legítimo de participação democrática, permitindo que as demandas da população sejam incorporadas ao planejamento municipa</w:t>
      </w:r>
      <w:r>
        <w:rPr>
          <w:rFonts w:ascii="Calibri" w:eastAsia="Arial" w:hAnsi="Calibri" w:cs="Arial"/>
          <w:color w:val="000000"/>
          <w:sz w:val="24"/>
          <w:szCs w:val="24"/>
        </w:rPr>
        <w:t>l.</w:t>
      </w:r>
    </w:p>
    <w:p w:rsidR="00C3319A" w:rsidP="00A207E6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Entretanto, reafirmamos a </w:t>
      </w:r>
      <w:r w:rsidRPr="00511068">
        <w:rPr>
          <w:rFonts w:ascii="Calibri" w:eastAsia="Arial" w:hAnsi="Calibri" w:cs="Arial"/>
          <w:color w:val="000000"/>
          <w:sz w:val="24"/>
          <w:szCs w:val="24"/>
        </w:rPr>
        <w:t>importância de que futuras emendas às peças orçamentárias sejam acompanhadas de informações completas, estudos técnicos e demonstração de compatibilidade com o PPA</w:t>
      </w:r>
    </w:p>
    <w:p w:rsidR="00377327" w:rsidP="00444CC7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D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iante de t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>odo o exposto, e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>,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 considerando </w:t>
      </w:r>
      <w:r w:rsidR="00511068">
        <w:rPr>
          <w:rFonts w:ascii="Calibri" w:eastAsia="Arial" w:hAnsi="Calibri" w:cs="Arial"/>
          <w:color w:val="000000"/>
          <w:sz w:val="24"/>
          <w:szCs w:val="24"/>
        </w:rPr>
        <w:t xml:space="preserve">a manifesta necessidade de adequação da peça orçamentária, 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esta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 xml:space="preserve"> relatoria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não identifica óbices para a regular tramitação e aprovação.</w:t>
      </w:r>
    </w:p>
    <w:p w:rsidR="00511068" w:rsidP="0037732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 w:rsidP="0037732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</w:t>
      </w:r>
      <w:r w:rsidRPr="00A77DA2">
        <w:rPr>
          <w:rFonts w:ascii="Calibri" w:hAnsi="Calibri"/>
          <w:b/>
          <w:color w:val="000000"/>
          <w:sz w:val="24"/>
          <w:szCs w:val="24"/>
        </w:rPr>
        <w:t>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  <w:r w:rsidR="00377327">
        <w:rPr>
          <w:rFonts w:ascii="Calibri" w:hAnsi="Calibri"/>
          <w:color w:val="000000"/>
          <w:sz w:val="24"/>
          <w:szCs w:val="24"/>
        </w:rPr>
        <w:t xml:space="preserve"> </w:t>
      </w:r>
    </w:p>
    <w:p w:rsidR="00511068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>e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s,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em</w:t>
      </w:r>
      <w:r w:rsidR="00511068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09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191C28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setembro 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>de 202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FB03EA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Cs w:val="24"/>
        </w:rPr>
      </w:pPr>
      <w:r w:rsidRPr="00FB03EA">
        <w:rPr>
          <w:rFonts w:ascii="Calibri" w:hAnsi="Calibri"/>
          <w:i/>
          <w:color w:val="000000"/>
          <w:szCs w:val="24"/>
        </w:rPr>
        <w:t>(</w:t>
      </w:r>
      <w:r w:rsidRPr="00FB03EA">
        <w:rPr>
          <w:rFonts w:ascii="Calibri" w:hAnsi="Calibri"/>
          <w:i/>
          <w:color w:val="000000"/>
          <w:szCs w:val="24"/>
        </w:rPr>
        <w:t>assinado</w:t>
      </w:r>
      <w:r w:rsidRPr="00FB03EA">
        <w:rPr>
          <w:rFonts w:ascii="Calibri" w:hAnsi="Calibri"/>
          <w:i/>
          <w:color w:val="000000"/>
          <w:szCs w:val="24"/>
        </w:rPr>
        <w:t xml:space="preserve"> digitalmente)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352E5F" w:rsidRPr="00A77DA2" w:rsidP="00FB03EA">
      <w:pPr>
        <w:pStyle w:val="BodyText"/>
        <w:spacing w:before="238" w:after="0" w:line="240" w:lineRule="auto"/>
        <w:contextualSpacing/>
        <w:jc w:val="center"/>
        <w:rPr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  <w:r w:rsidRPr="00A77DA2">
        <w:rPr>
          <w:sz w:val="24"/>
          <w:szCs w:val="24"/>
        </w:rPr>
        <w:br w:type="page"/>
      </w:r>
    </w:p>
    <w:p w:rsidR="008615FD" w:rsidRPr="00A77DA2" w:rsidP="00E0271B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</w:t>
      </w:r>
      <w:r w:rsidR="00E0271B">
        <w:rPr>
          <w:rFonts w:ascii="Calibri" w:hAnsi="Calibri"/>
          <w:b/>
          <w:color w:val="000000"/>
          <w:sz w:val="24"/>
          <w:szCs w:val="24"/>
        </w:rPr>
        <w:t xml:space="preserve">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="00E0271B">
        <w:rPr>
          <w:rFonts w:ascii="Calibri" w:hAnsi="Calibri"/>
          <w:b/>
          <w:color w:val="000000"/>
          <w:sz w:val="24"/>
          <w:szCs w:val="24"/>
        </w:rPr>
        <w:t xml:space="preserve">S COMISSÕES DE JUSTIÇA E REDAÇÃO E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A77DA2" w:rsidP="00E0271B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/>
          <w:color w:val="000000"/>
          <w:sz w:val="24"/>
          <w:szCs w:val="24"/>
        </w:rPr>
        <w:t>Seguindo o voto exarado pela Relatora e conforme determinam os artigos 35 e 37, combinado com o artigo 45, da Resolução nº 276, de 9 de novembro de 2010, as Comissões Permanentes de Justiça e Redação e de Finanças e Orçamento formalizam o presente PARECER FAVORÁVEL ao Projeto de Lei nº 93/2026.</w:t>
      </w:r>
    </w:p>
    <w:p w:rsidR="00E0271B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la das Comissões, em </w:t>
      </w:r>
      <w:r w:rsidR="00511068">
        <w:rPr>
          <w:rFonts w:ascii="Calibri" w:hAnsi="Calibri"/>
          <w:color w:val="000000"/>
          <w:sz w:val="24"/>
          <w:szCs w:val="24"/>
          <w:shd w:val="clear" w:color="auto" w:fill="FFFFFF"/>
        </w:rPr>
        <w:t>09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191C28">
        <w:rPr>
          <w:rFonts w:ascii="Calibri" w:hAnsi="Calibri"/>
          <w:color w:val="000000"/>
          <w:sz w:val="24"/>
          <w:szCs w:val="24"/>
          <w:shd w:val="clear" w:color="auto" w:fill="FFFFFF"/>
        </w:rPr>
        <w:t>setembro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="00E626C3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D16D19" w:rsidRPr="00A77DA2" w:rsidP="00E0271B">
      <w:pPr>
        <w:pStyle w:val="BodyText"/>
        <w:spacing w:line="240" w:lineRule="auto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sz w:val="24"/>
          <w:szCs w:val="24"/>
        </w:rPr>
        <w:br/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WILIANS MENDES DE OLIVEIRA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EVANDRO RIBEIRO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 w:rsidP="0035379A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>Parecer Conjunto PL nº77</w:t>
    </w:r>
    <w:r w:rsidR="0035379A">
      <w:rPr>
        <w:rFonts w:asciiTheme="majorHAnsi" w:hAnsiTheme="majorHAnsi" w:cstheme="majorHAnsi"/>
        <w:i/>
        <w:sz w:val="18"/>
      </w:rPr>
      <w:t>/2026</w:t>
    </w:r>
    <w:r w:rsidR="00312C6E">
      <w:rPr>
        <w:rFonts w:asciiTheme="majorHAnsi" w:hAnsiTheme="majorHAnsi" w:cstheme="majorHAnsi"/>
        <w:i/>
        <w:sz w:val="18"/>
      </w:rPr>
      <w:t xml:space="preserve">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9677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147E07"/>
    <w:multiLevelType w:val="hybridMultilevel"/>
    <w:tmpl w:val="6242F2F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C835D1"/>
    <w:multiLevelType w:val="hybridMultilevel"/>
    <w:tmpl w:val="B38473E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361893"/>
    <w:multiLevelType w:val="hybridMultilevel"/>
    <w:tmpl w:val="D73A7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A2C94"/>
    <w:multiLevelType w:val="hybridMultilevel"/>
    <w:tmpl w:val="E48A0E4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2D81D9F"/>
    <w:multiLevelType w:val="hybridMultilevel"/>
    <w:tmpl w:val="123AB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83638"/>
    <w:multiLevelType w:val="hybridMultilevel"/>
    <w:tmpl w:val="8C921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048E0"/>
    <w:multiLevelType w:val="hybridMultilevel"/>
    <w:tmpl w:val="01683E3A"/>
    <w:lvl w:ilvl="0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7">
    <w:nsid w:val="62C90996"/>
    <w:multiLevelType w:val="hybridMultilevel"/>
    <w:tmpl w:val="C560A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62CA8"/>
    <w:multiLevelType w:val="hybridMultilevel"/>
    <w:tmpl w:val="BCDCDB8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4567C2C"/>
    <w:multiLevelType w:val="hybridMultilevel"/>
    <w:tmpl w:val="0ACA4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4267D"/>
    <w:multiLevelType w:val="hybridMultilevel"/>
    <w:tmpl w:val="95C6715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0B2BD6"/>
    <w:multiLevelType w:val="hybridMultilevel"/>
    <w:tmpl w:val="E65CE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9434A"/>
    <w:multiLevelType w:val="hybridMultilevel"/>
    <w:tmpl w:val="6582899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A9C00F0"/>
    <w:multiLevelType w:val="hybridMultilevel"/>
    <w:tmpl w:val="516032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11"/>
  </w:num>
  <w:num w:numId="8">
    <w:abstractNumId w:val="0"/>
  </w:num>
  <w:num w:numId="9">
    <w:abstractNumId w:val="6"/>
  </w:num>
  <w:num w:numId="10">
    <w:abstractNumId w:val="5"/>
  </w:num>
  <w:num w:numId="11">
    <w:abstractNumId w:val="12"/>
  </w:num>
  <w:num w:numId="12">
    <w:abstractNumId w:val="8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A2A86"/>
    <w:rsid w:val="001832BE"/>
    <w:rsid w:val="00191C28"/>
    <w:rsid w:val="001F33A6"/>
    <w:rsid w:val="00231F03"/>
    <w:rsid w:val="002B456D"/>
    <w:rsid w:val="002C071E"/>
    <w:rsid w:val="00312C6E"/>
    <w:rsid w:val="00352E5F"/>
    <w:rsid w:val="0035379A"/>
    <w:rsid w:val="003615F7"/>
    <w:rsid w:val="00366660"/>
    <w:rsid w:val="00377327"/>
    <w:rsid w:val="00391092"/>
    <w:rsid w:val="003A138E"/>
    <w:rsid w:val="004126AD"/>
    <w:rsid w:val="00444CC7"/>
    <w:rsid w:val="005020FD"/>
    <w:rsid w:val="00511068"/>
    <w:rsid w:val="00512C30"/>
    <w:rsid w:val="005F2BDC"/>
    <w:rsid w:val="006179A4"/>
    <w:rsid w:val="00641676"/>
    <w:rsid w:val="006A4A2F"/>
    <w:rsid w:val="006F0330"/>
    <w:rsid w:val="00707682"/>
    <w:rsid w:val="0072400E"/>
    <w:rsid w:val="00760D70"/>
    <w:rsid w:val="008053EA"/>
    <w:rsid w:val="008615FD"/>
    <w:rsid w:val="00897763"/>
    <w:rsid w:val="00922054"/>
    <w:rsid w:val="00927DD0"/>
    <w:rsid w:val="009E070B"/>
    <w:rsid w:val="00A207E6"/>
    <w:rsid w:val="00A65BA7"/>
    <w:rsid w:val="00A75533"/>
    <w:rsid w:val="00A77DA2"/>
    <w:rsid w:val="00A8293C"/>
    <w:rsid w:val="00B051EE"/>
    <w:rsid w:val="00C3319A"/>
    <w:rsid w:val="00C72110"/>
    <w:rsid w:val="00C96EEB"/>
    <w:rsid w:val="00D16D19"/>
    <w:rsid w:val="00D508C2"/>
    <w:rsid w:val="00D72EDC"/>
    <w:rsid w:val="00D87F12"/>
    <w:rsid w:val="00D948BC"/>
    <w:rsid w:val="00DD64B0"/>
    <w:rsid w:val="00E0271B"/>
    <w:rsid w:val="00E35923"/>
    <w:rsid w:val="00E626C3"/>
    <w:rsid w:val="00E851C4"/>
    <w:rsid w:val="00ED084C"/>
    <w:rsid w:val="00F1397C"/>
    <w:rsid w:val="00FB03EA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444CC7"/>
    <w:rPr>
      <w:b/>
      <w:bCs/>
    </w:rPr>
  </w:style>
  <w:style w:type="table" w:styleId="PlainTable2">
    <w:name w:val="Plain Table 2"/>
    <w:basedOn w:val="TableNormal"/>
    <w:uiPriority w:val="42"/>
    <w:rsid w:val="003A13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1666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2023-09-06T14:30:00Z</cp:lastPrinted>
  <dcterms:created xsi:type="dcterms:W3CDTF">2026-09-09T17:53:00Z</dcterms:created>
  <dcterms:modified xsi:type="dcterms:W3CDTF">2026-09-09T18:49:00Z</dcterms:modified>
  <dc:language>pt-BR</dc:language>
</cp:coreProperties>
</file>