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79C1">
        <w:rPr>
          <w:rFonts w:asciiTheme="majorHAnsi" w:hAnsiTheme="majorHAnsi" w:cstheme="majorHAnsi"/>
          <w:b/>
          <w:sz w:val="24"/>
          <w:szCs w:val="24"/>
        </w:rPr>
        <w:t>2</w:t>
      </w:r>
      <w:r w:rsidR="000E003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54</w:t>
      </w:r>
      <w:r w:rsidR="00BF79C1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0E0035">
        <w:rPr>
          <w:rFonts w:asciiTheme="majorHAnsi" w:hAnsiTheme="majorHAnsi" w:cstheme="majorHAnsi"/>
          <w:b/>
          <w:color w:val="000000"/>
          <w:sz w:val="24"/>
          <w:szCs w:val="24"/>
        </w:rPr>
        <w:t>º 68</w:t>
      </w:r>
      <w:r w:rsidR="00502AE9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0E0035">
        <w:rPr>
          <w:rFonts w:asciiTheme="majorHAnsi" w:hAnsiTheme="majorHAnsi" w:cstheme="majorHAnsi"/>
          <w:sz w:val="24"/>
          <w:szCs w:val="24"/>
        </w:rPr>
        <w:t>acerca do Projeto de Lei nº 54</w:t>
      </w:r>
      <w:r w:rsidR="000724DA">
        <w:rPr>
          <w:rFonts w:asciiTheme="majorHAnsi" w:hAnsiTheme="majorHAnsi" w:cstheme="majorHAnsi"/>
          <w:sz w:val="24"/>
          <w:szCs w:val="24"/>
        </w:rPr>
        <w:t>/2026</w:t>
      </w:r>
      <w:r w:rsidR="00BE68FF">
        <w:rPr>
          <w:rFonts w:asciiTheme="majorHAnsi" w:hAnsiTheme="majorHAnsi" w:cstheme="majorHAnsi"/>
          <w:sz w:val="24"/>
          <w:szCs w:val="24"/>
        </w:rPr>
        <w:t xml:space="preserve">, </w:t>
      </w:r>
      <w:r w:rsidR="000724DA">
        <w:rPr>
          <w:rFonts w:asciiTheme="majorHAnsi" w:hAnsiTheme="majorHAnsi" w:cstheme="majorHAnsi"/>
          <w:sz w:val="24"/>
          <w:szCs w:val="24"/>
        </w:rPr>
        <w:t>d</w:t>
      </w:r>
      <w:r w:rsidRPr="000724DA" w:rsidR="000724DA">
        <w:rPr>
          <w:rFonts w:asciiTheme="majorHAnsi" w:hAnsiTheme="majorHAnsi" w:cstheme="majorHAnsi"/>
          <w:sz w:val="24"/>
          <w:szCs w:val="24"/>
        </w:rPr>
        <w:t>e autoria do</w:t>
      </w:r>
      <w:r w:rsidR="000E0035">
        <w:rPr>
          <w:rFonts w:asciiTheme="majorHAnsi" w:hAnsiTheme="majorHAnsi" w:cstheme="majorHAnsi"/>
          <w:sz w:val="24"/>
          <w:szCs w:val="24"/>
        </w:rPr>
        <w:t xml:space="preserve"> </w:t>
      </w:r>
      <w:r w:rsidRPr="000E0035" w:rsidR="000E0035">
        <w:rPr>
          <w:rFonts w:asciiTheme="majorHAnsi" w:hAnsiTheme="majorHAnsi" w:cstheme="majorHAnsi"/>
          <w:sz w:val="24"/>
          <w:szCs w:val="24"/>
        </w:rPr>
        <w:t>Prefeito Municipal Dr. Paulo de Oliveira e Silva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0E0035" w:rsidRPr="000E0035" w:rsidP="000E003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E0035">
        <w:rPr>
          <w:rFonts w:asciiTheme="majorHAnsi" w:hAnsiTheme="majorHAnsi" w:cstheme="majorHAnsi"/>
          <w:sz w:val="24"/>
          <w:szCs w:val="24"/>
        </w:rPr>
        <w:t>O Projeto de Lei nº 54/2026 tem por finalidade autorizar o Município a instituir servidão administrativa de passagem ou realizar desapropriação, amigável ou judicial, das áreas necessárias à implantação do Coletor Tronco de Esgotos “CT do Boa – 4ª Etapa”.</w:t>
      </w:r>
    </w:p>
    <w:p w:rsidR="000E0035" w:rsidRPr="000E0035" w:rsidP="000E0035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E0035" w:rsidRPr="000E0035" w:rsidP="000E003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E0035">
        <w:rPr>
          <w:rFonts w:asciiTheme="majorHAnsi" w:hAnsiTheme="majorHAnsi" w:cstheme="majorHAnsi"/>
          <w:sz w:val="24"/>
          <w:szCs w:val="24"/>
        </w:rPr>
        <w:t>A intervenção possui finalidade de interesse público, estando relacionada à implantação e à expansão do sistema de coleta e afastamento de esgotos sanitários.</w:t>
      </w:r>
    </w:p>
    <w:p w:rsidR="000E0035" w:rsidRPr="000E0035" w:rsidP="000E0035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0724DA" w:rsidRPr="000724DA" w:rsidP="000E0035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0E0035">
        <w:rPr>
          <w:rFonts w:asciiTheme="majorHAnsi" w:hAnsiTheme="majorHAnsi" w:cstheme="majorHAnsi"/>
          <w:sz w:val="24"/>
          <w:szCs w:val="24"/>
        </w:rPr>
        <w:t>A propositura prevê que a Administração poderá utilizar o instituto da servidão administrativa ou, quando tecnicamente necessário, promover a desapropriação das áreas indispensáveis à execução da obra, observadas as normas legais aplicáveis e o pagamento da correspondente indenização.</w:t>
      </w:r>
    </w:p>
    <w:p w:rsidR="000724DA" w:rsidP="000724D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0724DA" w:rsidRPr="000724DA" w:rsidP="000724DA">
      <w:pPr>
        <w:pStyle w:val="NormalWeb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502AE9" w:rsidR="00502AE9">
        <w:rPr>
          <w:rFonts w:asciiTheme="majorHAnsi" w:hAnsiTheme="majorHAnsi" w:cstheme="majorHAnsi"/>
        </w:rPr>
        <w:t xml:space="preserve">Inicialmente, destacamos que a presente propositura já tramitou pela Comissão de Justiça e Redação, </w:t>
      </w:r>
      <w:r>
        <w:rPr>
          <w:rFonts w:asciiTheme="majorHAnsi" w:hAnsiTheme="majorHAnsi" w:cstheme="majorHAnsi"/>
        </w:rPr>
        <w:t xml:space="preserve">que </w:t>
      </w:r>
      <w:r w:rsidRPr="000724DA">
        <w:rPr>
          <w:rFonts w:asciiTheme="majorHAnsi" w:hAnsiTheme="majorHAnsi" w:cstheme="majorHAnsi"/>
        </w:rPr>
        <w:t>se manifestou favoravelmente ao projeto, reconhecendo sua constitucionalidade, legalidade, juridicidade e compatibilidade com a competência legislativa municipal.</w:t>
      </w:r>
    </w:p>
    <w:p w:rsidR="000724DA" w:rsidRPr="000724DA" w:rsidP="000724DA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E113CF" w:rsidRPr="00E113CF" w:rsidP="000E0035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724DA">
        <w:rPr>
          <w:rFonts w:asciiTheme="majorHAnsi" w:hAnsiTheme="majorHAnsi" w:cstheme="majorHAnsi"/>
        </w:rPr>
        <w:t xml:space="preserve">Em sua análise, a Comissão </w:t>
      </w:r>
      <w:r w:rsidR="000E0035">
        <w:rPr>
          <w:rFonts w:asciiTheme="majorHAnsi" w:hAnsiTheme="majorHAnsi" w:cstheme="majorHAnsi"/>
        </w:rPr>
        <w:t>se focou na avaliação imobiliária apresentada pela Prefeitura por meio de um Parecer Técnico da Secretaria de Tecnologia, Inovação e Inteligência de Dados</w:t>
      </w:r>
    </w:p>
    <w:p w:rsidR="000724D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E0035" w:rsidRPr="000E0035" w:rsidP="000E0035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E0035">
        <w:rPr>
          <w:rFonts w:asciiTheme="majorHAnsi" w:hAnsiTheme="majorHAnsi" w:cstheme="majorHAnsi"/>
        </w:rPr>
        <w:t>O Parecer Técnico informa que os valores foram calculados a partir da base imobiliária municipal, com recomposição do valor venal para aproximação do valor de mercado mediante aplicação do coeficiente global de 0,60 sobre a PGV.</w:t>
      </w:r>
    </w:p>
    <w:p w:rsidR="000E0035" w:rsidRPr="000E0035" w:rsidP="000E0035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E0035" w:rsidRPr="000E0035" w:rsidP="000E0035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E0035">
        <w:rPr>
          <w:rFonts w:asciiTheme="majorHAnsi" w:hAnsiTheme="majorHAnsi" w:cstheme="majorHAnsi"/>
        </w:rPr>
        <w:t>Com base nesses critérios, foi estimado o montante global de R$ 369.506,29 para as indenizações relacionadas às áreas necessárias à execução da intervenção.</w:t>
      </w:r>
    </w:p>
    <w:p w:rsidR="000E0035" w:rsidRPr="000E0035" w:rsidP="000E0035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E0035" w:rsidP="000E0035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E0035">
        <w:rPr>
          <w:rFonts w:asciiTheme="majorHAnsi" w:hAnsiTheme="majorHAnsi" w:cstheme="majorHAnsi"/>
        </w:rPr>
        <w:t>A adoção da PGV 2025, associada às normas técnicas de avaliação imobiliária, oferece maior segurança à estimativa orçamentária, especialmente porque:</w:t>
      </w:r>
    </w:p>
    <w:p w:rsidR="000E0035" w:rsidRPr="000E0035" w:rsidP="000E0035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</w:t>
      </w:r>
      <w:r w:rsidRPr="000E0035">
        <w:rPr>
          <w:rFonts w:asciiTheme="majorHAnsi" w:hAnsiTheme="majorHAnsi" w:cstheme="majorHAnsi"/>
        </w:rPr>
        <w:t>onsidera parâmetros oficiais utilizados pelo Município;</w:t>
      </w:r>
    </w:p>
    <w:p w:rsidR="000E0035" w:rsidRPr="000E0035" w:rsidP="000E0035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0E0035">
        <w:rPr>
          <w:rFonts w:asciiTheme="majorHAnsi" w:hAnsiTheme="majorHAnsi" w:cstheme="majorHAnsi"/>
        </w:rPr>
        <w:t>ermite a identificação objetiva dos imóveis atingidos;</w:t>
      </w:r>
    </w:p>
    <w:p w:rsidR="000E0035" w:rsidRPr="000E0035" w:rsidP="000E0035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0E0035">
        <w:rPr>
          <w:rFonts w:asciiTheme="majorHAnsi" w:hAnsiTheme="majorHAnsi" w:cstheme="majorHAnsi"/>
        </w:rPr>
        <w:t>ossibilita a conferência dos valores pela Administração;</w:t>
      </w:r>
    </w:p>
    <w:p w:rsidR="000E0035" w:rsidRPr="000E0035" w:rsidP="000E0035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</w:t>
      </w:r>
      <w:r w:rsidRPr="000E0035">
        <w:rPr>
          <w:rFonts w:asciiTheme="majorHAnsi" w:hAnsiTheme="majorHAnsi" w:cstheme="majorHAnsi"/>
        </w:rPr>
        <w:t>eduz o risco de subavaliação ou superavaliação das áreas;</w:t>
      </w:r>
    </w:p>
    <w:p w:rsidR="000E0035" w:rsidRPr="000E0035" w:rsidP="000E0035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Pr="000E0035">
        <w:rPr>
          <w:rFonts w:asciiTheme="majorHAnsi" w:hAnsiTheme="majorHAnsi" w:cstheme="majorHAnsi"/>
        </w:rPr>
        <w:t>ornece base para eventual composição amigável;</w:t>
      </w:r>
    </w:p>
    <w:p w:rsidR="000E0035" w:rsidRPr="000E0035" w:rsidP="000E0035">
      <w:pPr>
        <w:pStyle w:val="NormalWeb"/>
        <w:numPr>
          <w:ilvl w:val="0"/>
          <w:numId w:val="26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0E0035">
        <w:rPr>
          <w:rFonts w:asciiTheme="majorHAnsi" w:hAnsiTheme="majorHAnsi" w:cstheme="majorHAnsi"/>
        </w:rPr>
        <w:t>uxilia a defesa do Município em eventual processo judicial.</w:t>
      </w:r>
    </w:p>
    <w:p w:rsidR="000E0035" w:rsidP="000E0035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E0035" w:rsidP="000E0035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E0035">
        <w:rPr>
          <w:rFonts w:asciiTheme="majorHAnsi" w:hAnsiTheme="majorHAnsi" w:cstheme="majorHAnsi"/>
        </w:rPr>
        <w:t>Ressalta-se, contudo, que o valor apresentado possui natureza estimativa, podendo sofrer alterações conforme a avaliação individualizada, a extensão efetiva da área atingida, a existência de benfeitorias, as condições específicas de cada imóvel e eventual perícia judicial.</w:t>
      </w:r>
    </w:p>
    <w:p w:rsidR="000E003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E003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Com relação a previsão orçamentária o</w:t>
      </w:r>
      <w:r w:rsidRPr="000E0035">
        <w:rPr>
          <w:rFonts w:asciiTheme="majorHAnsi" w:hAnsiTheme="majorHAnsi" w:cstheme="majorHAnsi"/>
        </w:rPr>
        <w:t xml:space="preserve"> artigo 3º do Projeto de Lei nº 54/2026 estabelece que as despesas decorrentes da execução da lei correrão por conta de dotações orçamentárias próprias.</w:t>
      </w:r>
    </w:p>
    <w:p w:rsidR="000E003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E0035" w:rsidRPr="000E0035" w:rsidP="000E0035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0E0035">
        <w:rPr>
          <w:rFonts w:asciiTheme="majorHAnsi" w:hAnsiTheme="majorHAnsi" w:cstheme="majorHAnsi"/>
        </w:rPr>
        <w:t>A autorização para eventual suplementação também se mostra adequada, considerando que o valor definitivo das indenizações poderá ser alterado após:</w:t>
      </w:r>
    </w:p>
    <w:p w:rsidR="000E0035" w:rsidRPr="000E0035" w:rsidP="000E0035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E0035" w:rsidRPr="000E0035" w:rsidP="000E0035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0E0035">
        <w:rPr>
          <w:rFonts w:asciiTheme="majorHAnsi" w:hAnsiTheme="majorHAnsi" w:cstheme="majorHAnsi"/>
        </w:rPr>
        <w:t>valiação individualizada;</w:t>
      </w:r>
    </w:p>
    <w:p w:rsidR="000E0035" w:rsidRPr="000E0035" w:rsidP="000E0035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Pr="000E0035">
        <w:rPr>
          <w:rFonts w:asciiTheme="majorHAnsi" w:hAnsiTheme="majorHAnsi" w:cstheme="majorHAnsi"/>
        </w:rPr>
        <w:t>egociação com os proprietários;</w:t>
      </w:r>
    </w:p>
    <w:p w:rsidR="000E0035" w:rsidRPr="000E0035" w:rsidP="000E0035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Pr="000E0035">
        <w:rPr>
          <w:rFonts w:asciiTheme="majorHAnsi" w:hAnsiTheme="majorHAnsi" w:cstheme="majorHAnsi"/>
        </w:rPr>
        <w:t>ormalização de acordos administrativos;</w:t>
      </w:r>
    </w:p>
    <w:p w:rsidR="000E0035" w:rsidRPr="000E0035" w:rsidP="000E0035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0E0035">
        <w:rPr>
          <w:rFonts w:asciiTheme="majorHAnsi" w:hAnsiTheme="majorHAnsi" w:cstheme="majorHAnsi"/>
        </w:rPr>
        <w:t>erícia judicial;</w:t>
      </w:r>
    </w:p>
    <w:p w:rsidR="000E0035" w:rsidRPr="000E0035" w:rsidP="000E0035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0E0035">
        <w:rPr>
          <w:rFonts w:asciiTheme="majorHAnsi" w:hAnsiTheme="majorHAnsi" w:cstheme="majorHAnsi"/>
        </w:rPr>
        <w:t>efinição precisa das áreas afetadas;</w:t>
      </w:r>
    </w:p>
    <w:p w:rsidR="000E0035" w:rsidP="000E0035">
      <w:pPr>
        <w:pStyle w:val="NormalWeb"/>
        <w:numPr>
          <w:ilvl w:val="0"/>
          <w:numId w:val="27"/>
        </w:numPr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0E0035">
        <w:rPr>
          <w:rFonts w:asciiTheme="majorHAnsi" w:hAnsiTheme="majorHAnsi" w:cstheme="majorHAnsi"/>
        </w:rPr>
        <w:t>nclusão de eventuais benfeitorias indenizáveis.</w:t>
      </w:r>
    </w:p>
    <w:p w:rsidR="000E0035" w:rsidRPr="000E0035" w:rsidP="000E0035">
      <w:pPr>
        <w:pStyle w:val="NormalWeb"/>
        <w:ind w:left="720"/>
        <w:contextualSpacing/>
        <w:jc w:val="both"/>
        <w:rPr>
          <w:rFonts w:asciiTheme="majorHAnsi" w:hAnsiTheme="majorHAnsi" w:cstheme="majorHAnsi"/>
        </w:rPr>
      </w:pPr>
    </w:p>
    <w:p w:rsidR="000E0035" w:rsidRPr="000E0035" w:rsidP="000E0035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Reforçamos, contudo, que a</w:t>
      </w:r>
      <w:r w:rsidRPr="000E0035">
        <w:rPr>
          <w:rFonts w:asciiTheme="majorHAnsi" w:hAnsiTheme="majorHAnsi" w:cstheme="majorHAnsi"/>
        </w:rPr>
        <w:t xml:space="preserve"> suplementação</w:t>
      </w:r>
      <w:r>
        <w:rPr>
          <w:rFonts w:asciiTheme="majorHAnsi" w:hAnsiTheme="majorHAnsi" w:cstheme="majorHAnsi"/>
        </w:rPr>
        <w:t xml:space="preserve"> </w:t>
      </w:r>
      <w:r w:rsidRPr="000E0035">
        <w:rPr>
          <w:rFonts w:asciiTheme="majorHAnsi" w:hAnsiTheme="majorHAnsi" w:cstheme="majorHAnsi"/>
        </w:rPr>
        <w:t>deverá observar os requisitos da Constituição Federal, da Lei Federal nº 4.320/1964, da Lei de Responsabilidade Fiscal e das leis orçamentárias municipais.</w:t>
      </w:r>
    </w:p>
    <w:p w:rsidR="000E0035" w:rsidRPr="000E0035" w:rsidP="000E0035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0E0035" w:rsidP="000E0035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0E0035">
        <w:rPr>
          <w:rFonts w:asciiTheme="majorHAnsi" w:hAnsiTheme="majorHAnsi" w:cstheme="majorHAnsi"/>
        </w:rPr>
        <w:t>A autorização legislativa não dispensa a existência de crédito orçamentário suficiente para a realização de cada despesa nem autoriza o pagamento de indenizações sem a correspondente formalização do processo administrativo ou judicial.</w:t>
      </w:r>
    </w:p>
    <w:p w:rsidR="000E0035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2F77D7" w:rsidRPr="002F77D7" w:rsidP="002F77D7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2F77D7">
        <w:rPr>
          <w:rFonts w:asciiTheme="majorHAnsi" w:hAnsiTheme="majorHAnsi" w:cstheme="majorHAnsi"/>
        </w:rPr>
        <w:t>A existência do Parecer Técnico permite que o Município tenha uma estimativa prévia do impacto financeiro da medida</w:t>
      </w:r>
      <w:r w:rsidRPr="002F77D7">
        <w:rPr>
          <w:rFonts w:asciiTheme="majorHAnsi" w:hAnsiTheme="majorHAnsi" w:cstheme="majorHAnsi"/>
          <w:b/>
        </w:rPr>
        <w:t>, calculada em aproximadamente R$ 369.506,29</w:t>
      </w:r>
      <w:r w:rsidRPr="002F77D7">
        <w:rPr>
          <w:rFonts w:asciiTheme="majorHAnsi" w:hAnsiTheme="majorHAnsi" w:cstheme="majorHAnsi"/>
        </w:rPr>
        <w:t xml:space="preserve"> para as indenizações projetadas.</w:t>
      </w:r>
    </w:p>
    <w:p w:rsidR="002F77D7" w:rsidRPr="002F77D7" w:rsidP="002F77D7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0E0035" w:rsidP="002F77D7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2F77D7">
        <w:rPr>
          <w:rFonts w:asciiTheme="majorHAnsi" w:hAnsiTheme="majorHAnsi" w:cstheme="majorHAnsi"/>
        </w:rPr>
        <w:t>Embora esse valor possa ser alterado no curso dos procedimentos administrativos ou judiciais, a estimativa apresentada oferece razoável previsibilidade para a programação orçamentária.</w:t>
      </w:r>
    </w:p>
    <w:p w:rsidR="000E0035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502AE9">
        <w:rPr>
          <w:rFonts w:asciiTheme="majorHAnsi" w:hAnsiTheme="majorHAnsi" w:cstheme="majorHAnsi"/>
        </w:rPr>
        <w:t xml:space="preserve">Diante </w:t>
      </w:r>
      <w:r w:rsidR="00E113CF">
        <w:rPr>
          <w:rFonts w:asciiTheme="majorHAnsi" w:hAnsiTheme="majorHAnsi" w:cstheme="majorHAnsi"/>
        </w:rPr>
        <w:t>de todo o exposto, considerando a relevância</w:t>
      </w:r>
      <w:r w:rsidR="002F77D7">
        <w:rPr>
          <w:rFonts w:asciiTheme="majorHAnsi" w:hAnsiTheme="majorHAnsi" w:cstheme="majorHAnsi"/>
        </w:rPr>
        <w:t xml:space="preserve"> para a infraestrutura urbana e do saneamento da cidade</w:t>
      </w:r>
      <w:r w:rsidR="00A35C6B">
        <w:rPr>
          <w:rFonts w:asciiTheme="majorHAnsi" w:hAnsiTheme="majorHAnsi" w:cstheme="majorHAnsi"/>
        </w:rPr>
        <w:t xml:space="preserve">, </w:t>
      </w:r>
      <w:r w:rsidR="00E113CF">
        <w:rPr>
          <w:rFonts w:asciiTheme="majorHAnsi" w:hAnsiTheme="majorHAnsi" w:cstheme="majorHAnsi"/>
        </w:rPr>
        <w:t>esta</w:t>
      </w:r>
      <w:r w:rsidR="00A35C6B">
        <w:rPr>
          <w:rFonts w:asciiTheme="majorHAnsi" w:hAnsiTheme="majorHAnsi" w:cstheme="majorHAnsi"/>
        </w:rPr>
        <w:t xml:space="preserve"> Comissão conclui</w:t>
      </w:r>
      <w:r w:rsidR="00E113CF">
        <w:rPr>
          <w:rFonts w:asciiTheme="majorHAnsi" w:hAnsiTheme="majorHAnsi" w:cstheme="majorHAnsi"/>
        </w:rPr>
        <w:t xml:space="preserve"> que a proposta </w:t>
      </w:r>
      <w:r w:rsidRPr="00502AE9">
        <w:rPr>
          <w:rFonts w:asciiTheme="majorHAnsi" w:hAnsiTheme="majorHAnsi" w:cstheme="majorHAnsi"/>
        </w:rPr>
        <w:t>não apresenta óbices de natureza orçamentária ou financeira para sua regular tramitação.</w:t>
      </w:r>
    </w:p>
    <w:p w:rsidR="00502AE9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53E6B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2F77D7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2F77D7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2F77D7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2F77D7" w:rsidRPr="00D677F3" w:rsidP="00502AE9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III. Substitutivos, Emendas 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</w:t>
      </w:r>
      <w:r w:rsidR="00E113CF">
        <w:rPr>
          <w:rFonts w:asciiTheme="majorHAnsi" w:hAnsiTheme="majorHAnsi" w:cstheme="majorHAnsi"/>
        </w:rPr>
        <w:t>Esta relatoria não propõe emendas ao Projeto de Lei</w:t>
      </w:r>
      <w:r w:rsidR="00A35C6B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10</w:t>
      </w:r>
      <w:r w:rsidR="00637C5F">
        <w:rPr>
          <w:rFonts w:asciiTheme="majorHAnsi" w:hAnsiTheme="majorHAnsi" w:cstheme="majorHAnsi"/>
        </w:rPr>
        <w:t xml:space="preserve"> de </w:t>
      </w:r>
      <w:r w:rsidR="00E113CF">
        <w:rPr>
          <w:rFonts w:asciiTheme="majorHAnsi" w:hAnsiTheme="majorHAnsi" w:cstheme="majorHAnsi"/>
        </w:rPr>
        <w:t>setembro</w:t>
      </w:r>
      <w:r w:rsidR="00502AE9">
        <w:rPr>
          <w:rFonts w:asciiTheme="majorHAnsi" w:hAnsiTheme="majorHAnsi" w:cstheme="majorHAnsi"/>
        </w:rPr>
        <w:t xml:space="preserve"> de 2026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PARECER FAVORÁVEL DA COMISSÃO DE FINANÇAS E ORÇAMENTO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>Seguindo o Voto exarado pela Relatora e conforme determina o artigo 37, da Resoluçã</w:t>
      </w:r>
      <w:r w:rsidR="00A35C6B">
        <w:rPr>
          <w:rFonts w:asciiTheme="majorHAnsi" w:hAnsiTheme="majorHAnsi" w:cstheme="majorHAnsi"/>
        </w:rPr>
        <w:t>o Nº 276 de 09 de novembro de 2</w:t>
      </w:r>
      <w:r w:rsidRPr="00D677F3">
        <w:rPr>
          <w:rFonts w:asciiTheme="majorHAnsi" w:hAnsiTheme="majorHAnsi" w:cstheme="majorHAnsi"/>
        </w:rPr>
        <w:t xml:space="preserve">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2F77D7">
        <w:rPr>
          <w:rFonts w:asciiTheme="majorHAnsi" w:hAnsiTheme="majorHAnsi" w:cstheme="majorHAnsi"/>
        </w:rPr>
        <w:t xml:space="preserve">missões, em 10 </w:t>
      </w:r>
      <w:r w:rsidR="00637C5F">
        <w:rPr>
          <w:rFonts w:asciiTheme="majorHAnsi" w:hAnsiTheme="majorHAnsi" w:cstheme="majorHAnsi"/>
        </w:rPr>
        <w:t xml:space="preserve">de </w:t>
      </w:r>
      <w:r w:rsidR="00E113CF">
        <w:rPr>
          <w:rFonts w:asciiTheme="majorHAnsi" w:hAnsiTheme="majorHAnsi" w:cstheme="majorHAnsi"/>
        </w:rPr>
        <w:t>setembro</w:t>
      </w:r>
      <w:r w:rsidR="00502AE9">
        <w:rPr>
          <w:rFonts w:asciiTheme="majorHAnsi" w:hAnsiTheme="majorHAnsi" w:cstheme="majorHAnsi"/>
        </w:rPr>
        <w:t xml:space="preserve"> de 2026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02AE9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12E62"/>
    <w:multiLevelType w:val="hybridMultilevel"/>
    <w:tmpl w:val="25B86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B6406"/>
    <w:multiLevelType w:val="hybridMultilevel"/>
    <w:tmpl w:val="1BA62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938C4"/>
    <w:multiLevelType w:val="hybridMultilevel"/>
    <w:tmpl w:val="E94A6B4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17F85"/>
    <w:multiLevelType w:val="hybridMultilevel"/>
    <w:tmpl w:val="D30AD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8D683B"/>
    <w:multiLevelType w:val="hybridMultilevel"/>
    <w:tmpl w:val="FD24E5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10"/>
  </w:num>
  <w:num w:numId="5">
    <w:abstractNumId w:val="23"/>
  </w:num>
  <w:num w:numId="6">
    <w:abstractNumId w:val="25"/>
  </w:num>
  <w:num w:numId="7">
    <w:abstractNumId w:val="5"/>
  </w:num>
  <w:num w:numId="8">
    <w:abstractNumId w:val="12"/>
  </w:num>
  <w:num w:numId="9">
    <w:abstractNumId w:val="9"/>
  </w:num>
  <w:num w:numId="10">
    <w:abstractNumId w:val="8"/>
  </w:num>
  <w:num w:numId="11">
    <w:abstractNumId w:val="7"/>
  </w:num>
  <w:num w:numId="12">
    <w:abstractNumId w:val="17"/>
  </w:num>
  <w:num w:numId="13">
    <w:abstractNumId w:val="0"/>
  </w:num>
  <w:num w:numId="14">
    <w:abstractNumId w:val="4"/>
  </w:num>
  <w:num w:numId="15">
    <w:abstractNumId w:val="22"/>
  </w:num>
  <w:num w:numId="16">
    <w:abstractNumId w:val="13"/>
  </w:num>
  <w:num w:numId="17">
    <w:abstractNumId w:val="21"/>
  </w:num>
  <w:num w:numId="18">
    <w:abstractNumId w:val="6"/>
  </w:num>
  <w:num w:numId="19">
    <w:abstractNumId w:val="3"/>
  </w:num>
  <w:num w:numId="20">
    <w:abstractNumId w:val="19"/>
  </w:num>
  <w:num w:numId="21">
    <w:abstractNumId w:val="18"/>
  </w:num>
  <w:num w:numId="22">
    <w:abstractNumId w:val="24"/>
  </w:num>
  <w:num w:numId="23">
    <w:abstractNumId w:val="20"/>
  </w:num>
  <w:num w:numId="24">
    <w:abstractNumId w:val="15"/>
  </w:num>
  <w:num w:numId="25">
    <w:abstractNumId w:val="14"/>
  </w:num>
  <w:num w:numId="26">
    <w:abstractNumId w:val="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57A9B"/>
    <w:rsid w:val="00064FC8"/>
    <w:rsid w:val="00070FE7"/>
    <w:rsid w:val="00071EF2"/>
    <w:rsid w:val="000724DA"/>
    <w:rsid w:val="00072EB5"/>
    <w:rsid w:val="0008150E"/>
    <w:rsid w:val="00092E53"/>
    <w:rsid w:val="00096F36"/>
    <w:rsid w:val="000A1BE0"/>
    <w:rsid w:val="000B1C6D"/>
    <w:rsid w:val="000E0035"/>
    <w:rsid w:val="000F4933"/>
    <w:rsid w:val="00126AE5"/>
    <w:rsid w:val="0015590E"/>
    <w:rsid w:val="00181506"/>
    <w:rsid w:val="0018384C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71AC"/>
    <w:rsid w:val="002F3157"/>
    <w:rsid w:val="002F6A2F"/>
    <w:rsid w:val="002F77D7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6D21"/>
    <w:rsid w:val="003E5A51"/>
    <w:rsid w:val="003E60A2"/>
    <w:rsid w:val="003F0B47"/>
    <w:rsid w:val="003F64A5"/>
    <w:rsid w:val="00405098"/>
    <w:rsid w:val="00423EBB"/>
    <w:rsid w:val="00443CCB"/>
    <w:rsid w:val="00446FA1"/>
    <w:rsid w:val="004557B8"/>
    <w:rsid w:val="00456770"/>
    <w:rsid w:val="00472595"/>
    <w:rsid w:val="00484E11"/>
    <w:rsid w:val="00493896"/>
    <w:rsid w:val="004B3FD2"/>
    <w:rsid w:val="004B6FDF"/>
    <w:rsid w:val="004C0017"/>
    <w:rsid w:val="004C076A"/>
    <w:rsid w:val="004D46DA"/>
    <w:rsid w:val="004E6092"/>
    <w:rsid w:val="00502AE9"/>
    <w:rsid w:val="005242B1"/>
    <w:rsid w:val="00543E03"/>
    <w:rsid w:val="005559D9"/>
    <w:rsid w:val="0055728D"/>
    <w:rsid w:val="00560549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31E8C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11C4"/>
    <w:rsid w:val="00842408"/>
    <w:rsid w:val="00855DD2"/>
    <w:rsid w:val="008641BE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53E6B"/>
    <w:rsid w:val="0098102A"/>
    <w:rsid w:val="00983B49"/>
    <w:rsid w:val="009D4F58"/>
    <w:rsid w:val="009D56B8"/>
    <w:rsid w:val="009D6B7C"/>
    <w:rsid w:val="00A00E3E"/>
    <w:rsid w:val="00A12DD9"/>
    <w:rsid w:val="00A164DC"/>
    <w:rsid w:val="00A23604"/>
    <w:rsid w:val="00A2712E"/>
    <w:rsid w:val="00A27446"/>
    <w:rsid w:val="00A35C6B"/>
    <w:rsid w:val="00A672C0"/>
    <w:rsid w:val="00A92E38"/>
    <w:rsid w:val="00AB5B37"/>
    <w:rsid w:val="00AD2770"/>
    <w:rsid w:val="00AE4353"/>
    <w:rsid w:val="00AE5858"/>
    <w:rsid w:val="00AF0C05"/>
    <w:rsid w:val="00AF3296"/>
    <w:rsid w:val="00AF4AC7"/>
    <w:rsid w:val="00B25671"/>
    <w:rsid w:val="00B47859"/>
    <w:rsid w:val="00B57090"/>
    <w:rsid w:val="00BA48C7"/>
    <w:rsid w:val="00BE41D6"/>
    <w:rsid w:val="00BE68FF"/>
    <w:rsid w:val="00BE6938"/>
    <w:rsid w:val="00BF2A6F"/>
    <w:rsid w:val="00BF47AD"/>
    <w:rsid w:val="00BF79C1"/>
    <w:rsid w:val="00C00566"/>
    <w:rsid w:val="00C10154"/>
    <w:rsid w:val="00C31C89"/>
    <w:rsid w:val="00C74E3F"/>
    <w:rsid w:val="00C75973"/>
    <w:rsid w:val="00CA4349"/>
    <w:rsid w:val="00CC230E"/>
    <w:rsid w:val="00CC3E72"/>
    <w:rsid w:val="00CF288D"/>
    <w:rsid w:val="00D233F3"/>
    <w:rsid w:val="00D33D1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32F0"/>
    <w:rsid w:val="00DE2A9A"/>
    <w:rsid w:val="00DF605F"/>
    <w:rsid w:val="00E113C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ADD77-DF2D-452C-8A67-F8FD9274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2026-09-10T12:25:00Z</dcterms:created>
  <dcterms:modified xsi:type="dcterms:W3CDTF">2026-09-10T12:25:00Z</dcterms:modified>
</cp:coreProperties>
</file>