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3B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  <w:sz w:val="24"/>
          <w:szCs w:val="24"/>
        </w:rPr>
      </w:pPr>
    </w:p>
    <w:p w:rsidR="00503B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24"/>
          <w:szCs w:val="24"/>
        </w:rPr>
      </w:pPr>
    </w:p>
    <w:p w:rsidR="00503B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RELATÓRIO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24"/>
          <w:szCs w:val="24"/>
        </w:rPr>
      </w:pP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20"/>
        <w:rPr>
          <w:i/>
          <w:i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PROJETO DE LEI Nº 84 DE 2026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Inclui no Calendário Oficial de Datas e Eventos do Município de Mogi Mirim o “Dia do Evangélico”, a ser comemorado anualmente em 10 de agosto, e o institui como feriado municipal religioso. 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RELATOR: WILIANS MENDES DE OLIVEIRA</w:t>
      </w:r>
    </w:p>
    <w:p w:rsidR="00503B78">
      <w:pPr>
        <w:spacing w:line="360" w:lineRule="auto"/>
        <w:rPr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503B78">
      <w:pPr>
        <w:pStyle w:val="Heading3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- EXPOSIÇÃO DA MATÉRIA EM EXAME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O Projeto de Lei nº 84 de 2026, de autoria do Vereador Marcos Paulo </w:t>
      </w:r>
      <w:r>
        <w:rPr>
          <w:color w:val="000000"/>
          <w:sz w:val="24"/>
          <w:szCs w:val="24"/>
        </w:rPr>
        <w:t>Cegatti</w:t>
      </w:r>
      <w:r>
        <w:rPr>
          <w:color w:val="000000"/>
          <w:sz w:val="24"/>
          <w:szCs w:val="24"/>
        </w:rPr>
        <w:t>, tem por objetivo incluir no Calendário Oficial de Datas e Eventos do Município de Mogi Mirim o Dia do Evan</w:t>
      </w:r>
      <w:r>
        <w:rPr>
          <w:color w:val="000000"/>
          <w:sz w:val="24"/>
          <w:szCs w:val="24"/>
        </w:rPr>
        <w:t xml:space="preserve">gélico, a ser comemorado anualmente em 10 de agosto, instituindo a referida data como feriado municipal religioso. </w:t>
      </w:r>
    </w:p>
    <w:p w:rsidR="00503B78">
      <w:p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O artigo 1° inclui o Dia do Evangélico no Calendário Oficial de Datas e Eventos do Município e estabelece, em seu parágrafo único, que a da</w:t>
      </w:r>
      <w:r>
        <w:rPr>
          <w:sz w:val="24"/>
          <w:szCs w:val="24"/>
        </w:rPr>
        <w:t xml:space="preserve">ta será considerada feriado municipal religioso. </w:t>
      </w:r>
    </w:p>
    <w:p w:rsidR="00503B78">
      <w:p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O artigo 2° dispõe que o Poder Público Municipal poderá apoiar eventos destinados à celebração da data, inclusive autorizando a utilização de espaços públicos para atividades religiosas, culturais, sociais e comunitárias, observados os princípios constituc</w:t>
      </w:r>
      <w:r>
        <w:rPr>
          <w:sz w:val="24"/>
          <w:szCs w:val="24"/>
        </w:rPr>
        <w:t xml:space="preserve">ionais da Administração Pública e da liberdade religiosa. </w:t>
      </w:r>
    </w:p>
    <w:p w:rsidR="00503B78">
      <w:pPr>
        <w:spacing w:before="280" w:after="28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artigo 3° estabelece que as despesas decorrentes da execução desta Lei correrão por conta das dotações orçamentárias próprias, suplementadas, caso seja necessário. </w:t>
      </w:r>
    </w:p>
    <w:p w:rsidR="00503B78">
      <w:p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O artigo 4° determina que a l</w:t>
      </w:r>
      <w:r>
        <w:rPr>
          <w:sz w:val="24"/>
          <w:szCs w:val="24"/>
        </w:rPr>
        <w:t>ei entra em vigor na data de sua publicação.</w:t>
      </w:r>
    </w:p>
    <w:p w:rsidR="00503B78">
      <w:pPr>
        <w:spacing w:before="280" w:after="28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fim, o artigo 5° prevê a revogação as disposições em contrário. </w:t>
      </w:r>
    </w:p>
    <w:p w:rsidR="00503B78">
      <w:p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Em justificativa apresentada, o autor destaca a expressiva representatividade da comunidade evangélica no Município, sua relevante atuação so</w:t>
      </w:r>
      <w:r>
        <w:rPr>
          <w:sz w:val="24"/>
          <w:szCs w:val="24"/>
        </w:rPr>
        <w:t xml:space="preserve">cial e comunitária, bem como sustenta que a instituição da data e do feriado visa reconhecer essa contribuição histórica, fortalecer a liberdade religiosa e permitir a participação da população nas celebrações religiosas. 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pict>
          <v:rect id="_x0000_i1026" style="width:0;height:1.5pt" o:hralign="center" o:hrstd="t" o:hr="t" fillcolor="#a0a0a0" stroked="f"/>
        </w:pict>
      </w:r>
    </w:p>
    <w:p w:rsidR="00503B78">
      <w:pPr>
        <w:pStyle w:val="Heading3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II - CONCLUSÕES DO RELATOR</w:t>
      </w:r>
    </w:p>
    <w:p w:rsidR="00503B78">
      <w:pPr>
        <w:pStyle w:val="Heading4"/>
        <w:spacing w:line="360" w:lineRule="auto"/>
      </w:pPr>
      <w:r>
        <w:tab/>
      </w:r>
      <w:r>
        <w:t>a) Legalidade e Constitucionalidade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O Projeto de Lei nº 84/2026 encontra amparo na competência legislativa do Município, nos termos do artigo 30, inciso I, da Constituição Federal, que atribui aos Municípios competência para legislar sobre assuntos de int</w:t>
      </w:r>
      <w:r>
        <w:rPr>
          <w:color w:val="000000"/>
          <w:sz w:val="24"/>
          <w:szCs w:val="24"/>
        </w:rPr>
        <w:t xml:space="preserve">eresse local, dentre os quais se inserem a instituição de datas comemorativas, sua inclusão no Calendário Oficial de Eventos e a criação de feriados religiosos municipais, observados os limites estabelecidos pela legislação federal. 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A iniciativa parlamen</w:t>
      </w:r>
      <w:r>
        <w:rPr>
          <w:color w:val="000000"/>
          <w:sz w:val="24"/>
          <w:szCs w:val="24"/>
        </w:rPr>
        <w:t>tar também se mostra compatível com a ordem constitucional. A matéria não está inserida dentre aquelas de iniciativa legislativa privativa do Chefe do Poder Executivo, tratando-se de hipótese de iniciativa concorrente. Nesse sentido, o parecer jurídico que</w:t>
      </w:r>
      <w:r>
        <w:rPr>
          <w:color w:val="000000"/>
          <w:sz w:val="24"/>
          <w:szCs w:val="24"/>
        </w:rPr>
        <w:t xml:space="preserve"> acompanha a proposição ressalta que a fixação de datas comemorativas, a inclusão no calendário oficial e a instituição de feriados religiosos constituem matérias que podem ser validamente propostas por membros do Poder Legislativo Municipal, desde que não</w:t>
      </w:r>
      <w:r>
        <w:rPr>
          <w:color w:val="000000"/>
          <w:sz w:val="24"/>
          <w:szCs w:val="24"/>
        </w:rPr>
        <w:t xml:space="preserve"> haja interferência na organização administrativa do Poder Executivo.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Quanto à instituição do feriado religioso, a proposição deve observar os requisitos previstos no artigo 2º da Lei Federal nº 9.093/1995, que autoriza os Municípios a instituírem feriado</w:t>
      </w:r>
      <w:r>
        <w:rPr>
          <w:color w:val="000000"/>
          <w:sz w:val="24"/>
          <w:szCs w:val="24"/>
        </w:rPr>
        <w:t xml:space="preserve">s religiosos de acordo com a tradição local, em número não superior a quatro, incluída a Sexta-Feira da Paixão. O parecer jurídico destaca que, para a regular tramitação da matéria, cabe ao autor demonstrar a existência da tradição local e verificar que o </w:t>
      </w:r>
      <w:r>
        <w:rPr>
          <w:color w:val="000000"/>
          <w:sz w:val="24"/>
          <w:szCs w:val="24"/>
        </w:rPr>
        <w:t xml:space="preserve">Município não tenha </w:t>
      </w:r>
      <w:r>
        <w:rPr>
          <w:color w:val="000000"/>
          <w:sz w:val="24"/>
          <w:szCs w:val="24"/>
        </w:rPr>
        <w:t>atingido o limite legal de feriados religiosos, requisitos que deverão ser apreciados pelas Comissões Permanentes durante a análise da proposição.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constitucionalidade da matéria também encontra respaldo na jurisprudência do Supremo Tr</w:t>
      </w:r>
      <w:r>
        <w:rPr>
          <w:color w:val="000000"/>
          <w:sz w:val="24"/>
          <w:szCs w:val="24"/>
        </w:rPr>
        <w:t xml:space="preserve">ibunal Federal, que reconhece a competência dos Estados e Municípios para instituírem feriados religiosos e datas comemorativas voltadas à preservação de bens culturais imateriais, desde que observados os parâmetros estabelecidos pela legislação federal e </w:t>
      </w:r>
      <w:r>
        <w:rPr>
          <w:color w:val="000000"/>
          <w:sz w:val="24"/>
          <w:szCs w:val="24"/>
        </w:rPr>
        <w:t xml:space="preserve">respeitados os princípios constitucionais da liberdade religiosa e da laicidade do Estado. Da mesma forma, o Supremo Tribunal Federal, no julgamento do Tema 917 da Repercussão Geral, firmou entendimento de que não há vício de iniciativa em leis de autoria </w:t>
      </w:r>
      <w:r>
        <w:rPr>
          <w:color w:val="000000"/>
          <w:sz w:val="24"/>
          <w:szCs w:val="24"/>
        </w:rPr>
        <w:t>parlamentar que não tratem da estrutura administrativa, das atribuições dos órgãos públicos ou do regime jurídico de servidores, ainda que delas possam decorrer despesas indiretas para a Administração Pública.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Entretanto, merece acolhimento a ressalva ap</w:t>
      </w:r>
      <w:r>
        <w:rPr>
          <w:color w:val="000000"/>
          <w:sz w:val="24"/>
          <w:szCs w:val="24"/>
        </w:rPr>
        <w:t>resentada no parecer jurídico em relação ao artigo 2º do projeto. Embora a instituição da data comemorativa e do feriado seja constitucional, a redação atualmente proposta prevê que o Poder Público Municipal poderá apoiar eventos e autorizar a utilização d</w:t>
      </w:r>
      <w:r>
        <w:rPr>
          <w:color w:val="000000"/>
          <w:sz w:val="24"/>
          <w:szCs w:val="24"/>
        </w:rPr>
        <w:t>e espaços públicos para sua realização, disciplinando matéria relacionada à administração dos bens públicos municipais. Segundo a orientação jurídica, tal dispositivo poderá caracterizar ingerência do Poder Legislativo em atividade típica do Poder Executiv</w:t>
      </w:r>
      <w:r>
        <w:rPr>
          <w:color w:val="000000"/>
          <w:sz w:val="24"/>
          <w:szCs w:val="24"/>
        </w:rPr>
        <w:t>o, contrariando o princípio da separação dos Poderes previsto no artigo 2º da Constituição Federal.</w:t>
      </w:r>
      <w:r>
        <w:rPr>
          <w:color w:val="000000"/>
          <w:sz w:val="24"/>
          <w:szCs w:val="24"/>
        </w:rPr>
        <w:tab/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Sob o aspecto orçamentário-financeiro, a proposição não cria despesa obrigatória imediata, sendo eventuais despesas suportadas por dotações orçamentárias </w:t>
      </w:r>
      <w:r>
        <w:rPr>
          <w:color w:val="000000"/>
          <w:sz w:val="24"/>
          <w:szCs w:val="24"/>
        </w:rPr>
        <w:t xml:space="preserve">próprias, conforme previsão expressa do artigo 3° do projeto. 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Diante do exposto e com base nos fundamentos expostos, conclui-se que o Projeto de Lei n° 84/2026 atende os requisitos formais, demonstrando sua relevância social e legalidade, apto a regular t</w:t>
      </w:r>
      <w:r>
        <w:rPr>
          <w:color w:val="000000"/>
          <w:sz w:val="24"/>
          <w:szCs w:val="24"/>
        </w:rPr>
        <w:t>ramitação.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  <w:t>b) Conveniência e Oportunidade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Sob o prisma da conveniência e oportunidade, a proposta revela-se pertinente e de relevante interesse público, por reconhecer oficialmente a contribuição histórica, social, cultural e comunitária da comunidade e</w:t>
      </w:r>
      <w:r>
        <w:rPr>
          <w:color w:val="000000"/>
          <w:sz w:val="24"/>
          <w:szCs w:val="24"/>
        </w:rPr>
        <w:t xml:space="preserve">vangélica para o Município de Mogi Mirim. 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Conforme exposto na justificativa do projeto, as igrejas evangélicas desenvolvem, há décadas, importante atuação em diversas áreas de interesse coletivo, promovendo ações de assistência social, acolhimento de fam</w:t>
      </w:r>
      <w:r>
        <w:rPr>
          <w:color w:val="000000"/>
          <w:sz w:val="24"/>
          <w:szCs w:val="24"/>
        </w:rPr>
        <w:t>ílias em situação de vulnerabilidade, recuperação de dependentes químicos, fortalecimento dos vínculos familiares, incentivo ao voluntariado, campanhas beneficentes e diversos projetos voltados à promoção da cidadania e da dignidade da pessoa humana. Trata</w:t>
      </w:r>
      <w:r>
        <w:rPr>
          <w:color w:val="000000"/>
          <w:sz w:val="24"/>
          <w:szCs w:val="24"/>
        </w:rPr>
        <w:t xml:space="preserve">-se de atividades que complementam o trabalho desempenhado pelo Poder Público e contribuem significativamente para o desenvolvimento social da comunidade. 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A instituição do Dia do Evangélico no Calendário Oficial do Município representa, portanto, medida de valorização de uma parcela expressiva da população mogimiriana, reconhecendo sua participação na construção da identidade cultural e social do Município e</w:t>
      </w:r>
      <w:r>
        <w:rPr>
          <w:color w:val="000000"/>
          <w:sz w:val="24"/>
          <w:szCs w:val="24"/>
        </w:rPr>
        <w:t xml:space="preserve"> promovendo os princípios constitucionais da liberdade religiosa, do pluralismo e do respeito às diferentes manifestações de fé. 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No que se refere à instituição do feriado municipal religioso, verifica-se que a medida encontra respaldo na legislação feder</w:t>
      </w:r>
      <w:r>
        <w:rPr>
          <w:color w:val="000000"/>
          <w:sz w:val="24"/>
          <w:szCs w:val="24"/>
        </w:rPr>
        <w:t xml:space="preserve">al, desde que observados os requisitos previstos na Lei Federal n° 9.093/1995, especialmente quanto à demonstração da tradição local e ao limite legal de feriados religiosos. 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Diante disso, conclui-se que a matéria é conveniente e oportuna, pois prestigia</w:t>
      </w:r>
      <w:r>
        <w:rPr>
          <w:color w:val="000000"/>
          <w:sz w:val="24"/>
          <w:szCs w:val="24"/>
        </w:rPr>
        <w:t xml:space="preserve"> manifestação de relevante interesse religioso, cultural e social para o Município, valoriza a liberdade de crença assegurada pela Constituição Federal e reconhece a contribuição da comunidade evangélica para Mogi Mirim. 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pict>
          <v:rect id="_x0000_i1027" style="width:0;height:1.5pt" o:hralign="center" o:hrstd="t" o:hr="t" fillcolor="#a0a0a0" stroked="f"/>
        </w:pict>
      </w:r>
    </w:p>
    <w:p w:rsidR="00503B78">
      <w:pPr>
        <w:pStyle w:val="Heading3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III - OFERECIMENTO DE SUBSTITUTIVO, EMENDAS OU SUBEMENDAS</w:t>
      </w:r>
    </w:p>
    <w:p w:rsidR="00503B78">
      <w:pPr>
        <w:spacing w:line="360" w:lineRule="auto"/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>Após análise detalhada do projeto o relator </w:t>
      </w:r>
      <w:r>
        <w:rPr>
          <w:b/>
          <w:bCs/>
          <w:sz w:val="24"/>
          <w:szCs w:val="24"/>
        </w:rPr>
        <w:t xml:space="preserve">propõe uma emenda modificativa ao artigo 2°, </w:t>
      </w:r>
      <w:r>
        <w:rPr>
          <w:sz w:val="24"/>
          <w:szCs w:val="24"/>
        </w:rPr>
        <w:t>do texto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do projeto.  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pict>
          <v:rect id="_x0000_i1028" style="width:0;height:1.5pt" o:hralign="center" o:hrstd="t" o:hr="t" fillcolor="#a0a0a0" stroked="f"/>
        </w:pict>
      </w:r>
    </w:p>
    <w:p w:rsidR="00503B78">
      <w:pPr>
        <w:pStyle w:val="Heading3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IV - DECISÃO DA COMISSÃO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A Comissão de Justiça e Redação, por unanimidade, </w:t>
      </w:r>
      <w:r>
        <w:rPr>
          <w:b/>
          <w:bCs/>
          <w:color w:val="000000"/>
          <w:sz w:val="24"/>
          <w:szCs w:val="24"/>
        </w:rPr>
        <w:t>aprova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o Projeto de Lei nº 84 de 2026, </w:t>
      </w:r>
      <w:r>
        <w:rPr>
          <w:b/>
          <w:bCs/>
          <w:color w:val="000000"/>
          <w:sz w:val="24"/>
          <w:szCs w:val="24"/>
        </w:rPr>
        <w:t>com emenda</w:t>
      </w:r>
      <w:r>
        <w:rPr>
          <w:color w:val="000000"/>
          <w:sz w:val="24"/>
          <w:szCs w:val="24"/>
        </w:rPr>
        <w:t>, considerando-o </w:t>
      </w:r>
      <w:r>
        <w:rPr>
          <w:b/>
          <w:bCs/>
          <w:color w:val="000000"/>
          <w:sz w:val="24"/>
          <w:szCs w:val="24"/>
        </w:rPr>
        <w:t>legal, constitucional e conveniente</w:t>
      </w:r>
      <w:r>
        <w:rPr>
          <w:color w:val="000000"/>
          <w:sz w:val="24"/>
          <w:szCs w:val="24"/>
        </w:rPr>
        <w:t>.</w:t>
      </w:r>
    </w:p>
    <w:p w:rsidR="00503B78">
      <w:pPr>
        <w:spacing w:line="360" w:lineRule="auto"/>
        <w:rPr>
          <w:sz w:val="24"/>
          <w:szCs w:val="24"/>
        </w:rPr>
      </w:pPr>
      <w:r>
        <w:pict>
          <v:rect id="_x0000_i1029" style="width:0;height:1.5pt" o:hralign="center" o:hrstd="t" o:hr="t" fillcolor="#a0a0a0" stroked="f"/>
        </w:pic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Assinam os membros da Comissão de Justiça e Redação que votaram a favor:</w:t>
      </w:r>
    </w:p>
    <w:p w:rsidR="00503B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000000"/>
          <w:sz w:val="24"/>
          <w:szCs w:val="24"/>
        </w:rPr>
        <w:t>Vereador Wagner Ricardo Pereira (Presidente)</w:t>
      </w:r>
    </w:p>
    <w:p w:rsidR="00503B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000000"/>
          <w:sz w:val="24"/>
          <w:szCs w:val="24"/>
        </w:rPr>
        <w:t>Vereador Wilians Mendes de Oliveira (Vice-Presidente)</w:t>
      </w:r>
    </w:p>
    <w:p w:rsidR="00503B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</w:pPr>
      <w:r>
        <w:rPr>
          <w:color w:val="000000"/>
          <w:sz w:val="24"/>
          <w:szCs w:val="24"/>
        </w:rPr>
        <w:t>Vereador Márcio Evandro Ribeiro (Membro)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rPr>
          <w:color w:val="000000"/>
          <w:sz w:val="24"/>
          <w:szCs w:val="24"/>
        </w:rPr>
      </w:pPr>
      <w:r>
        <w:pict>
          <v:rect id="_x0000_i1030" style="width:0;height:1.5pt" o:hralign="center" o:hrstd="t" o:hr="t" fillcolor="#a0a0a0" stroked="f"/>
        </w:pic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SALA DAS SESSÕES</w:t>
      </w:r>
      <w:r w:rsidR="00A41AC0">
        <w:rPr>
          <w:b/>
          <w:bCs/>
          <w:color w:val="000000"/>
          <w:sz w:val="24"/>
          <w:szCs w:val="24"/>
        </w:rPr>
        <w:t xml:space="preserve"> “VEREADOR SANTO RÓTTOLI”, em 10 de setembro</w:t>
      </w:r>
      <w:r>
        <w:rPr>
          <w:b/>
          <w:bCs/>
          <w:color w:val="000000"/>
          <w:sz w:val="24"/>
          <w:szCs w:val="24"/>
        </w:rPr>
        <w:t xml:space="preserve"> de 2026.</w:t>
      </w:r>
    </w:p>
    <w:p w:rsidR="00503B78">
      <w:pPr>
        <w:spacing w:before="240" w:line="360" w:lineRule="auto"/>
        <w:jc w:val="center"/>
        <w:rPr>
          <w:i/>
          <w:iCs/>
          <w:sz w:val="24"/>
          <w:szCs w:val="24"/>
        </w:rPr>
      </w:pP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highlight w:val="white"/>
          <w:u w:val="single"/>
        </w:rPr>
        <w:t xml:space="preserve">VEREADOR </w:t>
      </w:r>
      <w:r>
        <w:rPr>
          <w:b/>
          <w:bCs/>
          <w:color w:val="000000"/>
          <w:sz w:val="24"/>
          <w:szCs w:val="24"/>
          <w:u w:val="single"/>
        </w:rPr>
        <w:t>WILIANS MENDES DE OLIVEIRA</w:t>
      </w:r>
    </w:p>
    <w:p w:rsidR="00503B78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Relator</w:t>
      </w:r>
    </w:p>
    <w:p w:rsidR="00503B78">
      <w:pPr>
        <w:spacing w:line="360" w:lineRule="auto"/>
        <w:jc w:val="center"/>
        <w:rPr>
          <w:sz w:val="24"/>
          <w:szCs w:val="24"/>
        </w:rPr>
      </w:pPr>
    </w:p>
    <w:p w:rsidR="00503B78">
      <w:pPr>
        <w:spacing w:line="360" w:lineRule="auto"/>
        <w:rPr>
          <w:sz w:val="24"/>
          <w:szCs w:val="24"/>
        </w:rPr>
      </w:pPr>
      <w:r>
        <w:pict>
          <v:rect id="_x0000_i1031" style="width:0;height:1.5pt" o:hralign="center" o:hrstd="t" o:hr="t" fillcolor="#a0a0a0" stroked="f"/>
        </w:pict>
      </w:r>
    </w:p>
    <w:p w:rsidR="00503B78">
      <w:pPr>
        <w:pStyle w:val="Heading3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REFERÊNCIAS</w:t>
      </w:r>
    </w:p>
    <w:p w:rsidR="00503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Consulta n° 0310/2026/MN/G</w:t>
      </w:r>
      <w:r>
        <w:rPr>
          <w:color w:val="000000"/>
          <w:sz w:val="24"/>
          <w:szCs w:val="24"/>
        </w:rPr>
        <w:t>, parecer jurídico elaborado especificamente sobre o Projeto de Lei nº 84/2026, concluindo pela constitucionalidade da iniciativa parlamentar para instituição do Dia do Evangélico e do feriado municipal, desde que sejam observados os requisitos da Lei Fede</w:t>
      </w:r>
      <w:r>
        <w:rPr>
          <w:color w:val="000000"/>
          <w:sz w:val="24"/>
          <w:szCs w:val="24"/>
        </w:rPr>
        <w:t>ral nº 9.093/1995 e promovida adequação do artigo 2º da proposição para afastar eventual ingerência em matéria administrativa.</w:t>
      </w:r>
    </w:p>
    <w:p w:rsidR="00503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Constituição Federal, Art. 2°, </w:t>
      </w:r>
      <w:r>
        <w:rPr>
          <w:color w:val="000000"/>
          <w:sz w:val="24"/>
          <w:szCs w:val="24"/>
        </w:rPr>
        <w:t>que dispõe sobre a separação dos poderes.</w:t>
      </w:r>
    </w:p>
    <w:p w:rsidR="00503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Constituição Federal, art. 5º, incisos VI e VIII</w:t>
      </w:r>
      <w:r>
        <w:rPr>
          <w:color w:val="000000"/>
          <w:sz w:val="24"/>
          <w:szCs w:val="24"/>
        </w:rPr>
        <w:t>, que as</w:t>
      </w:r>
      <w:r>
        <w:rPr>
          <w:color w:val="000000"/>
          <w:sz w:val="24"/>
          <w:szCs w:val="24"/>
        </w:rPr>
        <w:t>seguram a liberdade religiosa e de crença.</w:t>
      </w:r>
    </w:p>
    <w:p w:rsidR="00503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Constituição Federal, Art. 30, incisos I, </w:t>
      </w:r>
      <w:r>
        <w:rPr>
          <w:color w:val="000000"/>
          <w:sz w:val="24"/>
          <w:szCs w:val="24"/>
        </w:rPr>
        <w:t xml:space="preserve">competência municipal para legislar sobre assuntos de interesse local. </w:t>
      </w:r>
    </w:p>
    <w:p w:rsidR="00503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b/>
          <w:bCs/>
          <w:color w:val="000000"/>
          <w:sz w:val="24"/>
          <w:szCs w:val="24"/>
        </w:rPr>
        <w:t xml:space="preserve">Lei Federal nº 9.093/1995, </w:t>
      </w:r>
      <w:r>
        <w:rPr>
          <w:color w:val="000000"/>
          <w:sz w:val="24"/>
          <w:szCs w:val="24"/>
        </w:rPr>
        <w:t>especialmente o art. 2º, que disciplina a instituição de feriados religi</w:t>
      </w:r>
      <w:r>
        <w:rPr>
          <w:color w:val="000000"/>
          <w:sz w:val="24"/>
          <w:szCs w:val="24"/>
        </w:rPr>
        <w:t>osos municipais.</w:t>
      </w:r>
    </w:p>
    <w:p w:rsidR="00503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b/>
          <w:bCs/>
          <w:color w:val="000000"/>
          <w:sz w:val="24"/>
          <w:szCs w:val="24"/>
        </w:rPr>
        <w:t xml:space="preserve">Supremo Tribunal Federal – Ação Direta de Inconstitucionalidade (ADI) nº 4.092/RJ, </w:t>
      </w:r>
      <w:r>
        <w:rPr>
          <w:color w:val="000000"/>
          <w:sz w:val="24"/>
          <w:szCs w:val="24"/>
        </w:rPr>
        <w:t>que reconheceu a constitucionalidade da instituição de feriados religiosos pelos entes federativos, entendendo que Estados e Municípios podem criar feriados</w:t>
      </w:r>
      <w:r>
        <w:rPr>
          <w:color w:val="000000"/>
          <w:sz w:val="24"/>
          <w:szCs w:val="24"/>
        </w:rPr>
        <w:t xml:space="preserve"> destinados à preservação de bens culturais imateriais e manifestações religiosas de relevante interesse social, desde que observadas as disposições da Lei Federal nº 9.093/1995.</w:t>
      </w:r>
    </w:p>
    <w:p w:rsidR="00503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b/>
          <w:bCs/>
          <w:color w:val="000000"/>
          <w:sz w:val="24"/>
          <w:szCs w:val="24"/>
        </w:rPr>
        <w:t>Supremo Tribunal Federal – Agravo em Recurso Extraordinário (ARE) nº 1.013.80</w:t>
      </w:r>
      <w:r>
        <w:rPr>
          <w:b/>
          <w:bCs/>
          <w:color w:val="000000"/>
          <w:sz w:val="24"/>
          <w:szCs w:val="24"/>
        </w:rPr>
        <w:t>2/DF</w:t>
      </w:r>
      <w:r>
        <w:rPr>
          <w:color w:val="000000"/>
          <w:sz w:val="24"/>
          <w:szCs w:val="24"/>
        </w:rPr>
        <w:t>, que reconhece a constitucionalidade da instituição do "Dia do Evangélico" como feriado religioso, afirmando que a criação de feriado municipal não configura invasão da competência privativa da União para legislar sobre Direito do Trabalho, por tratar</w:t>
      </w:r>
      <w:r>
        <w:rPr>
          <w:color w:val="000000"/>
          <w:sz w:val="24"/>
          <w:szCs w:val="24"/>
        </w:rPr>
        <w:t>-se de matéria de interesse local disciplinada pela Lei Federal nº 9.093/1995.</w:t>
      </w:r>
    </w:p>
    <w:p w:rsidR="00503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Supremo Tribunal Federal – Tema 917 da Repercussão Geral (ARE nº 878.911),</w:t>
      </w:r>
      <w:r>
        <w:rPr>
          <w:color w:val="000000"/>
          <w:sz w:val="24"/>
          <w:szCs w:val="24"/>
        </w:rPr>
        <w:t xml:space="preserve"> firmou a tese de que não há vício de iniciativa em leis de autoria parlamentar que criem despesas indiretas para a Administração Pública, desde que não tratem da estrutura administrativa, das atribuições dos órgãos públicos ou do regime jurídico dos servi</w:t>
      </w:r>
      <w:r>
        <w:rPr>
          <w:color w:val="000000"/>
          <w:sz w:val="24"/>
          <w:szCs w:val="24"/>
        </w:rPr>
        <w:t>dores. Esse entendimento fundamenta a constitucionalidade da iniciativa parlamentar do presente projeto.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000000"/>
          <w:sz w:val="24"/>
          <w:szCs w:val="24"/>
        </w:rPr>
      </w:pP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000000"/>
          <w:sz w:val="24"/>
          <w:szCs w:val="24"/>
        </w:rPr>
      </w:pP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000000"/>
          <w:sz w:val="24"/>
          <w:szCs w:val="24"/>
        </w:rPr>
      </w:pPr>
    </w:p>
    <w:p w:rsidR="00503B78">
      <w:pPr>
        <w:pBdr>
          <w:top w:val="nil"/>
          <w:left w:val="nil"/>
          <w:bottom w:val="nil"/>
          <w:right w:val="nil"/>
          <w:between w:val="nil"/>
        </w:pBdr>
        <w:tabs>
          <w:tab w:val="left" w:pos="2470"/>
        </w:tabs>
        <w:spacing w:before="280" w:after="280" w:line="360" w:lineRule="auto"/>
        <w:jc w:val="both"/>
        <w:rPr>
          <w:b/>
          <w:bCs/>
          <w:color w:val="000000"/>
          <w:sz w:val="24"/>
          <w:szCs w:val="24"/>
        </w:rPr>
      </w:pP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PARECER DA COMISSÃO DE JUSTIÇA E REDAÇÃO AO PROJETO DE LEI Nº 84 DE 2026 DE AUTORIA DO VEREADOR MARCOS PAULO CEGATTI. </w:t>
      </w:r>
    </w:p>
    <w:p w:rsidR="00503B78">
      <w:pPr>
        <w:jc w:val="both"/>
        <w:rPr>
          <w:rFonts w:ascii="Palatino Linotype" w:eastAsia="Palatino Linotype" w:hAnsi="Palatino Linotype" w:cs="Palatino Linotype"/>
          <w:b/>
          <w:bCs/>
          <w:sz w:val="24"/>
          <w:szCs w:val="24"/>
        </w:rPr>
      </w:pPr>
      <w:r>
        <w:tab/>
      </w:r>
      <w:r>
        <w:rPr>
          <w:rFonts w:ascii="Palatino Linotype" w:eastAsia="Palatino Linotype" w:hAnsi="Palatino Linotype" w:cs="Palatino Linotype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FAVORÁVEL ao Projeto de Lei n° 84 de 2026.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</w:p>
    <w:p w:rsidR="00503B78">
      <w:pPr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t>Sala das Comissões, 10 de setembro</w:t>
      </w:r>
      <w:r w:rsidR="007346EA">
        <w:rPr>
          <w:rFonts w:ascii="Palatino Linotype" w:eastAsia="Palatino Linotype" w:hAnsi="Palatino Linotype" w:cs="Palatino Linotype"/>
          <w:sz w:val="24"/>
          <w:szCs w:val="24"/>
        </w:rPr>
        <w:t xml:space="preserve"> de 2026.</w:t>
      </w:r>
    </w:p>
    <w:p w:rsidR="00503B7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color w:val="000000"/>
          <w:sz w:val="24"/>
          <w:szCs w:val="24"/>
          <w:u w:val="single"/>
        </w:rPr>
      </w:pPr>
    </w:p>
    <w:p w:rsidR="00503B78">
      <w:pPr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503B78">
      <w:pPr>
        <w:jc w:val="center"/>
        <w:rPr>
          <w:rFonts w:ascii="Palatino Linotype" w:eastAsia="Palatino Linotype" w:hAnsi="Palatino Linotype" w:cs="Palatino Linotype"/>
          <w:b/>
          <w:bCs/>
          <w:sz w:val="24"/>
          <w:szCs w:val="24"/>
          <w:u w:val="single"/>
        </w:rPr>
      </w:pPr>
      <w:r>
        <w:rPr>
          <w:rFonts w:ascii="Palatino Linotype" w:eastAsia="Palatino Linotype" w:hAnsi="Palatino Linotype" w:cs="Palatino Linotype"/>
          <w:b/>
          <w:bCs/>
          <w:sz w:val="24"/>
          <w:szCs w:val="24"/>
          <w:u w:val="single"/>
        </w:rPr>
        <w:t>COMISSÃO DE JUSTIÇA E REDAÇÃO</w:t>
      </w:r>
    </w:p>
    <w:p w:rsidR="00503B78">
      <w:pPr>
        <w:jc w:val="center"/>
        <w:rPr>
          <w:rFonts w:ascii="Palatino Linotype" w:eastAsia="Palatino Linotype" w:hAnsi="Palatino Linotype" w:cs="Palatino Linotype"/>
          <w:b/>
          <w:bCs/>
          <w:sz w:val="24"/>
          <w:szCs w:val="24"/>
          <w:u w:val="single"/>
        </w:rPr>
      </w:pPr>
    </w:p>
    <w:p w:rsidR="00503B78">
      <w:pPr>
        <w:jc w:val="center"/>
        <w:rPr>
          <w:rFonts w:ascii="Palatino Linotype" w:eastAsia="Palatino Linotype" w:hAnsi="Palatino Linotype" w:cs="Palatino Linotype"/>
          <w:b/>
          <w:bCs/>
          <w:sz w:val="24"/>
          <w:szCs w:val="24"/>
          <w:u w:val="single"/>
        </w:rPr>
      </w:pPr>
    </w:p>
    <w:p w:rsidR="00503B78">
      <w:pPr>
        <w:jc w:val="center"/>
        <w:rPr>
          <w:rFonts w:ascii="Palatino Linotype" w:eastAsia="Palatino Linotype" w:hAnsi="Palatino Linotype" w:cs="Palatino Linotype"/>
          <w:b/>
          <w:bCs/>
          <w:sz w:val="24"/>
          <w:szCs w:val="24"/>
          <w:u w:val="single"/>
        </w:rPr>
      </w:pPr>
    </w:p>
    <w:p w:rsidR="00503B78">
      <w:pPr>
        <w:jc w:val="center"/>
        <w:rPr>
          <w:rFonts w:ascii="Palatino Linotype" w:eastAsia="Palatino Linotype" w:hAnsi="Palatino Linotype" w:cs="Palatino Linotype"/>
          <w:b/>
          <w:bCs/>
          <w:sz w:val="24"/>
          <w:szCs w:val="24"/>
          <w:u w:val="single"/>
        </w:rPr>
      </w:pPr>
      <w:r>
        <w:rPr>
          <w:rFonts w:ascii="Palatino Linotype" w:eastAsia="Palatino Linotype" w:hAnsi="Palatino Linotype" w:cs="Palatino Linotype"/>
          <w:b/>
          <w:bCs/>
          <w:sz w:val="24"/>
          <w:szCs w:val="24"/>
          <w:u w:val="single"/>
        </w:rPr>
        <w:t>VEREADOR WAGNER RICARDO PEREIRA</w:t>
      </w:r>
    </w:p>
    <w:p w:rsidR="00503B78">
      <w:pPr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t>Presidente</w:t>
      </w:r>
    </w:p>
    <w:p w:rsidR="00503B78">
      <w:pPr>
        <w:jc w:val="center"/>
        <w:rPr>
          <w:rFonts w:ascii="Palatino Linotype" w:eastAsia="Palatino Linotype" w:hAnsi="Palatino Linotype" w:cs="Palatino Linotype"/>
          <w:b/>
          <w:bCs/>
          <w:sz w:val="24"/>
          <w:szCs w:val="24"/>
          <w:u w:val="single"/>
        </w:rPr>
      </w:pPr>
    </w:p>
    <w:p w:rsidR="00503B78">
      <w:pPr>
        <w:jc w:val="center"/>
        <w:rPr>
          <w:rFonts w:ascii="Palatino Linotype" w:eastAsia="Palatino Linotype" w:hAnsi="Palatino Linotype" w:cs="Palatino Linotype"/>
          <w:b/>
          <w:bCs/>
          <w:sz w:val="24"/>
          <w:szCs w:val="24"/>
          <w:u w:val="single"/>
        </w:rPr>
      </w:pPr>
      <w:bookmarkStart w:id="0" w:name="_GoBack"/>
      <w:bookmarkEnd w:id="0"/>
    </w:p>
    <w:p w:rsidR="00503B78">
      <w:pPr>
        <w:jc w:val="center"/>
        <w:rPr>
          <w:rFonts w:ascii="Palatino Linotype" w:eastAsia="Palatino Linotype" w:hAnsi="Palatino Linotype" w:cs="Palatino Linotype"/>
          <w:b/>
          <w:bCs/>
          <w:sz w:val="24"/>
          <w:szCs w:val="24"/>
          <w:u w:val="single"/>
        </w:rPr>
      </w:pPr>
      <w:r>
        <w:rPr>
          <w:rFonts w:ascii="Palatino Linotype" w:eastAsia="Palatino Linotype" w:hAnsi="Palatino Linotype" w:cs="Palatino Linotype"/>
          <w:b/>
          <w:bCs/>
          <w:sz w:val="24"/>
          <w:szCs w:val="24"/>
          <w:u w:val="single"/>
        </w:rPr>
        <w:t>VEREADOR WILIANS MENDES DE OLIVEIRA</w:t>
      </w:r>
    </w:p>
    <w:p w:rsidR="00503B78">
      <w:pPr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bookmarkStart w:id="1" w:name="_vvw7h3w3pb7" w:colFirst="0" w:colLast="0"/>
      <w:bookmarkEnd w:id="1"/>
      <w:r>
        <w:rPr>
          <w:rFonts w:ascii="Palatino Linotype" w:eastAsia="Palatino Linotype" w:hAnsi="Palatino Linotype" w:cs="Palatino Linotype"/>
          <w:sz w:val="24"/>
          <w:szCs w:val="24"/>
        </w:rPr>
        <w:t>Vice-Presidente/Relator</w:t>
      </w:r>
    </w:p>
    <w:p w:rsidR="00503B78">
      <w:pPr>
        <w:jc w:val="center"/>
        <w:rPr>
          <w:rFonts w:ascii="Palatino Linotype" w:eastAsia="Palatino Linotype" w:hAnsi="Palatino Linotype" w:cs="Palatino Linotype"/>
          <w:b/>
          <w:bCs/>
          <w:sz w:val="24"/>
          <w:szCs w:val="24"/>
          <w:u w:val="single"/>
        </w:rPr>
      </w:pPr>
    </w:p>
    <w:p w:rsidR="00503B78">
      <w:pPr>
        <w:jc w:val="center"/>
        <w:rPr>
          <w:rFonts w:ascii="Palatino Linotype" w:eastAsia="Palatino Linotype" w:hAnsi="Palatino Linotype" w:cs="Palatino Linotype"/>
          <w:b/>
          <w:bCs/>
          <w:sz w:val="24"/>
          <w:szCs w:val="24"/>
          <w:u w:val="single"/>
        </w:rPr>
      </w:pPr>
    </w:p>
    <w:p w:rsidR="00503B78">
      <w:pPr>
        <w:jc w:val="center"/>
        <w:rPr>
          <w:rFonts w:ascii="Palatino Linotype" w:eastAsia="Palatino Linotype" w:hAnsi="Palatino Linotype" w:cs="Palatino Linotype"/>
          <w:b/>
          <w:bCs/>
          <w:sz w:val="24"/>
          <w:szCs w:val="24"/>
          <w:u w:val="single"/>
        </w:rPr>
      </w:pPr>
      <w:r>
        <w:rPr>
          <w:rFonts w:ascii="Palatino Linotype" w:eastAsia="Palatino Linotype" w:hAnsi="Palatino Linotype" w:cs="Palatino Linotype"/>
          <w:b/>
          <w:bCs/>
          <w:sz w:val="24"/>
          <w:szCs w:val="24"/>
          <w:u w:val="single"/>
        </w:rPr>
        <w:t>VEREADOR MÁRCIO EVANDRO RIBEIRO</w:t>
      </w:r>
    </w:p>
    <w:p w:rsidR="00503B78">
      <w:pPr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sz w:val="24"/>
          <w:szCs w:val="24"/>
        </w:rPr>
        <w:t>Membro</w:t>
      </w:r>
    </w:p>
    <w:p w:rsidR="00503B78">
      <w:pPr>
        <w:spacing w:line="360" w:lineRule="auto"/>
        <w:jc w:val="center"/>
        <w:rPr>
          <w:b/>
          <w:bCs/>
          <w:sz w:val="24"/>
          <w:szCs w:val="24"/>
        </w:rPr>
      </w:pPr>
    </w:p>
    <w:p w:rsidR="00503B78">
      <w:pPr>
        <w:rPr>
          <w:b/>
          <w:bCs/>
          <w:sz w:val="24"/>
          <w:szCs w:val="24"/>
          <w:u w:val="single"/>
        </w:rPr>
      </w:pPr>
    </w:p>
    <w:sectPr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F9679E7D-1E81-457A-B3C9-E32F22E61BF2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2" w:fontKey="{0257147F-4324-41A0-8E75-047E05692584}"/>
    <w:embedBold r:id="rId3" w:fontKey="{631F68FE-4076-42A6-B25B-5BB290DFA59A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Bold r:id="rId4" w:fontKey="{1057E92A-2D67-43F7-B6A2-AE4B702107A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68C0F1C-0230-4468-B582-9DC749F8AF4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A4916FA-4D3D-4440-9853-3B120AE76D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B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503B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503B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B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503B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B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bCs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bCs/>
        <w:color w:val="000000"/>
        <w:sz w:val="24"/>
        <w:szCs w:val="24"/>
      </w:rPr>
      <w:t>Estado de São Paulo</w: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-923924</wp:posOffset>
          </wp:positionH>
          <wp:positionV relativeFrom="paragraph">
            <wp:posOffset>-247649</wp:posOffset>
          </wp:positionV>
          <wp:extent cx="1341380" cy="94297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8399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03B78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Bookman Old Style" w:hAnsi="Bookman Old Style" w:cs="Bookman Old Style"/>
        <w:b/>
        <w:bCs/>
        <w:color w:val="000000"/>
        <w:sz w:val="36"/>
        <w:szCs w:val="36"/>
      </w:rPr>
    </w:pPr>
    <w:r>
      <w:rPr>
        <w:rFonts w:ascii="Bookman Old Style" w:eastAsia="Bookman Old Style" w:hAnsi="Bookman Old Style" w:cs="Bookman Old Style"/>
        <w:b/>
        <w:bCs/>
        <w:color w:val="000000"/>
        <w:sz w:val="36"/>
        <w:szCs w:val="36"/>
      </w:rPr>
      <w:t>CÂMARA MUNICIPAL DE MOGI MIRIM</w:t>
    </w:r>
  </w:p>
  <w:p w:rsidR="00503B78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Bookman Old Style" w:hAnsi="Bookman Old Style" w:cs="Bookman Old Style"/>
        <w:b/>
        <w:bCs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bCs/>
        <w:color w:val="000000"/>
        <w:sz w:val="24"/>
        <w:szCs w:val="24"/>
      </w:rPr>
      <w:t>Gabinete do Vereador Wilians Mendes de Oliveira</w:t>
    </w:r>
  </w:p>
  <w:p w:rsidR="00503B78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Bookman Old Style" w:hAnsi="Bookman Old Style" w:cs="Bookman Old Style"/>
        <w:b/>
        <w:bCs/>
        <w:color w:val="000000"/>
        <w:sz w:val="36"/>
        <w:szCs w:val="36"/>
      </w:rPr>
    </w:pPr>
  </w:p>
  <w:p w:rsidR="00503B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bCs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13373C"/>
    <w:multiLevelType w:val="multilevel"/>
    <w:tmpl w:val="53B0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54A808A1"/>
    <w:multiLevelType w:val="multilevel"/>
    <w:tmpl w:val="90EAEF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B78"/>
    <w:rsid w:val="00503B78"/>
    <w:rsid w:val="007346EA"/>
    <w:rsid w:val="00A41A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C3B854-592A-4DCD-B229-E1A613EBD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1668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Wilians</dc:creator>
  <cp:lastModifiedBy>Wilians</cp:lastModifiedBy>
  <cp:revision>2</cp:revision>
  <dcterms:created xsi:type="dcterms:W3CDTF">2026-09-11T15:14:00Z</dcterms:created>
  <dcterms:modified xsi:type="dcterms:W3CDTF">2026-09-11T15:14:00Z</dcterms:modified>
</cp:coreProperties>
</file>