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Lei Complementar Nº 11/2026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Lei Complementar Nº 11/2026</w:t>
      </w:r>
    </w:p>
    <w:p w:rsidR="00EE2F9D" w:rsidRPr="003B578C" w:rsidP="007F4EEB" w14:paraId="27CE315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202DDAF3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3C62C3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</w:t>
      </w:r>
      <w:r w:rsidRPr="006D44EA" w:rsidR="006D44EA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PROJETO DE LEI COMPLEMENTAR Nº 11/2026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3B578C" w:rsidP="007F4EEB" w14:paraId="44ACDA23" w14:textId="30D0B92D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973DE8">
        <w:rPr>
          <w:rFonts w:ascii="Courier New" w:hAnsi="Courier New" w:cs="Courier New"/>
          <w:sz w:val="22"/>
          <w:szCs w:val="22"/>
        </w:rPr>
        <w:t>Acrescent</w:t>
      </w:r>
      <w:r w:rsidR="00DF4981">
        <w:rPr>
          <w:rFonts w:ascii="Courier New" w:hAnsi="Courier New" w:cs="Courier New"/>
          <w:sz w:val="22"/>
          <w:szCs w:val="22"/>
        </w:rPr>
        <w:t>a</w:t>
      </w:r>
      <w:r w:rsidRPr="00973DE8">
        <w:rPr>
          <w:rFonts w:ascii="Courier New" w:hAnsi="Courier New" w:cs="Courier New"/>
          <w:sz w:val="22"/>
          <w:szCs w:val="22"/>
        </w:rPr>
        <w:t xml:space="preserve">-se </w:t>
      </w:r>
      <w:r w:rsidRPr="00A754DD" w:rsidR="00A754DD">
        <w:rPr>
          <w:rFonts w:ascii="Courier New" w:hAnsi="Courier New" w:cs="Courier New"/>
          <w:sz w:val="22"/>
          <w:szCs w:val="22"/>
        </w:rPr>
        <w:t xml:space="preserve">o </w:t>
      </w:r>
      <w:r w:rsidRPr="00EE2F9D" w:rsidR="00EE2F9D">
        <w:rPr>
          <w:rFonts w:ascii="Courier New" w:hAnsi="Courier New" w:cs="Courier New"/>
          <w:sz w:val="22"/>
          <w:szCs w:val="22"/>
        </w:rPr>
        <w:t>art. 1º-</w:t>
      </w:r>
      <w:r w:rsidR="0082765C">
        <w:rPr>
          <w:rFonts w:ascii="Courier New" w:hAnsi="Courier New" w:cs="Courier New"/>
          <w:sz w:val="22"/>
          <w:szCs w:val="22"/>
        </w:rPr>
        <w:t>E</w:t>
      </w:r>
      <w:r w:rsidRPr="00EE2F9D" w:rsidR="00EE2F9D">
        <w:rPr>
          <w:rFonts w:ascii="Courier New" w:hAnsi="Courier New" w:cs="Courier New"/>
          <w:sz w:val="22"/>
          <w:szCs w:val="22"/>
        </w:rPr>
        <w:t xml:space="preserve"> ao Projeto de Lei Complementar nº 11/2026, imediatamente após o art. 1º-</w:t>
      </w:r>
      <w:r w:rsidR="0082765C">
        <w:rPr>
          <w:rFonts w:ascii="Courier New" w:hAnsi="Courier New" w:cs="Courier New"/>
          <w:sz w:val="22"/>
          <w:szCs w:val="22"/>
        </w:rPr>
        <w:t>D</w:t>
      </w:r>
      <w:r w:rsidRPr="00A754DD" w:rsidR="00A754DD">
        <w:rPr>
          <w:rFonts w:ascii="Courier New" w:hAnsi="Courier New" w:cs="Courier New"/>
          <w:sz w:val="22"/>
          <w:szCs w:val="22"/>
        </w:rPr>
        <w:t xml:space="preserve">, </w:t>
      </w:r>
      <w:r w:rsidR="00F34345">
        <w:rPr>
          <w:rFonts w:ascii="Courier New" w:hAnsi="Courier New" w:cs="Courier New"/>
          <w:sz w:val="22"/>
          <w:szCs w:val="22"/>
        </w:rPr>
        <w:t>passando a vigorar com a seguinte redação:</w:t>
      </w:r>
    </w:p>
    <w:p w:rsidR="00465074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973DE8" w:rsidP="00973DE8" w14:paraId="60496EF2" w14:textId="580EC895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973DE8">
        <w:rPr>
          <w:rFonts w:ascii="Courier New" w:hAnsi="Courier New" w:cs="Courier New"/>
          <w:b/>
          <w:bCs/>
          <w:sz w:val="22"/>
          <w:szCs w:val="22"/>
        </w:rPr>
        <w:t>Art. 1º-</w:t>
      </w:r>
      <w:r w:rsidR="0082765C">
        <w:rPr>
          <w:rFonts w:ascii="Courier New" w:hAnsi="Courier New" w:cs="Courier New"/>
          <w:b/>
          <w:bCs/>
          <w:sz w:val="22"/>
          <w:szCs w:val="22"/>
        </w:rPr>
        <w:t>E</w:t>
      </w:r>
      <w:r w:rsidRPr="00973DE8">
        <w:rPr>
          <w:rFonts w:ascii="Courier New" w:hAnsi="Courier New" w:cs="Courier New"/>
          <w:b/>
          <w:bCs/>
          <w:sz w:val="22"/>
          <w:szCs w:val="22"/>
        </w:rPr>
        <w:t xml:space="preserve">. </w:t>
      </w:r>
      <w:r w:rsidR="0082765C">
        <w:rPr>
          <w:rFonts w:ascii="Courier New" w:hAnsi="Courier New" w:cs="Courier New"/>
          <w:sz w:val="22"/>
          <w:szCs w:val="22"/>
        </w:rPr>
        <w:t xml:space="preserve">Altera </w:t>
      </w:r>
      <w:r w:rsidRPr="00EE2F9D" w:rsidR="0082765C">
        <w:rPr>
          <w:rFonts w:ascii="Courier New" w:hAnsi="Courier New" w:cs="Courier New"/>
          <w:sz w:val="22"/>
          <w:szCs w:val="22"/>
        </w:rPr>
        <w:t>o</w:t>
      </w:r>
      <w:r w:rsidR="0082765C">
        <w:rPr>
          <w:rFonts w:ascii="Courier New" w:hAnsi="Courier New" w:cs="Courier New"/>
          <w:sz w:val="22"/>
          <w:szCs w:val="22"/>
        </w:rPr>
        <w:t xml:space="preserve"> inciso V do art. 51 d</w:t>
      </w:r>
      <w:r w:rsidR="00EE2F9D">
        <w:rPr>
          <w:rFonts w:ascii="Courier New" w:hAnsi="Courier New" w:cs="Courier New"/>
          <w:sz w:val="22"/>
          <w:szCs w:val="22"/>
        </w:rPr>
        <w:t>a</w:t>
      </w:r>
      <w:r w:rsidRPr="00EE2F9D" w:rsidR="00EE2F9D">
        <w:rPr>
          <w:rFonts w:ascii="Courier New" w:hAnsi="Courier New" w:cs="Courier New"/>
          <w:sz w:val="22"/>
          <w:szCs w:val="22"/>
        </w:rPr>
        <w:t xml:space="preserve"> Lei Complementar nº 403, de 18 de dezembro de 2025, passa</w:t>
      </w:r>
      <w:r w:rsidR="00EE2F9D">
        <w:rPr>
          <w:rFonts w:ascii="Courier New" w:hAnsi="Courier New" w:cs="Courier New"/>
          <w:sz w:val="22"/>
          <w:szCs w:val="22"/>
        </w:rPr>
        <w:t>ndo</w:t>
      </w:r>
      <w:r w:rsidRPr="00EE2F9D" w:rsidR="00EE2F9D">
        <w:rPr>
          <w:rFonts w:ascii="Courier New" w:hAnsi="Courier New" w:cs="Courier New"/>
          <w:sz w:val="22"/>
          <w:szCs w:val="22"/>
        </w:rPr>
        <w:t xml:space="preserve"> a vigorar com as seguintes alterações:</w:t>
      </w:r>
    </w:p>
    <w:p w:rsidR="00EE2F9D" w:rsidP="00EE2F9D" w14:paraId="27AC1D7B" w14:textId="0FE0ED1D">
      <w:pPr>
        <w:spacing w:before="120" w:after="120" w:line="276" w:lineRule="auto"/>
        <w:ind w:left="567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973DE8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‘Art. </w:t>
      </w:r>
      <w:r>
        <w:rPr>
          <w:rFonts w:ascii="Courier New" w:hAnsi="Courier New" w:cs="Courier New"/>
          <w:b/>
          <w:bCs/>
          <w:i/>
          <w:iCs/>
          <w:sz w:val="22"/>
          <w:szCs w:val="22"/>
        </w:rPr>
        <w:t>51</w:t>
      </w:r>
      <w:r w:rsidRPr="00DF4981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973DE8">
        <w:rPr>
          <w:rFonts w:ascii="Courier New" w:hAnsi="Courier New" w:cs="Courier New"/>
          <w:i/>
          <w:iCs/>
          <w:sz w:val="22"/>
          <w:szCs w:val="22"/>
        </w:rPr>
        <w:t>[...]</w:t>
      </w:r>
    </w:p>
    <w:p w:rsidR="00EE2F9D" w:rsidP="00EE2F9D" w14:paraId="10F3D1C0" w14:textId="6747E5B8">
      <w:pPr>
        <w:spacing w:before="120" w:after="120" w:line="276" w:lineRule="auto"/>
        <w:ind w:left="567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EE2F9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V </w:t>
      </w:r>
      <w:r>
        <w:rPr>
          <w:rFonts w:ascii="Courier New" w:hAnsi="Courier New" w:cs="Courier New"/>
          <w:i/>
          <w:iCs/>
          <w:sz w:val="22"/>
          <w:szCs w:val="22"/>
        </w:rPr>
        <w:t>–</w:t>
      </w:r>
      <w:r w:rsidRPr="00A754DD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EE2F9D">
        <w:rPr>
          <w:rFonts w:ascii="Courier New" w:hAnsi="Courier New" w:cs="Courier New"/>
          <w:i/>
          <w:iCs/>
          <w:sz w:val="22"/>
          <w:szCs w:val="22"/>
        </w:rPr>
        <w:t>realizar as nomeações para os cargos previstos nesta Lei Complementar de forma a promover a diversidade e a igualdade na ocupação das posições de liderança, assegurando, a partir de 1º de janeiro de 2029, participação feminina correspondente a, no mínimo, 50% (cinquenta por cento) do conjunto dos cargos de agentes políticos e dos cargos de provimento em comissão efetivamente ocupados no âmbito da Administração Pública Municipal Direta, sem prejuízo da promoção do aumento da representatividade das pessoas negras e das pessoas com deficiência</w:t>
      </w:r>
      <w:r>
        <w:rPr>
          <w:rFonts w:ascii="Courier New" w:hAnsi="Courier New" w:cs="Courier New"/>
          <w:i/>
          <w:iCs/>
          <w:sz w:val="22"/>
          <w:szCs w:val="22"/>
        </w:rPr>
        <w:t>. Q</w:t>
      </w:r>
      <w:r w:rsidRPr="00EE2F9D">
        <w:rPr>
          <w:rFonts w:ascii="Courier New" w:hAnsi="Courier New" w:cs="Courier New"/>
          <w:i/>
          <w:iCs/>
          <w:sz w:val="22"/>
          <w:szCs w:val="22"/>
        </w:rPr>
        <w:t>uando o número total de cargos providos for ímpar, será admitida diferença máxima de 1 (um) integrante entre mulheres e homens, cabendo ao Prefeito definir a qual deles corresponderá a vaga excedente;</w:t>
      </w:r>
      <w:r>
        <w:rPr>
          <w:rFonts w:ascii="Courier New" w:hAnsi="Courier New" w:cs="Courier New"/>
          <w:i/>
          <w:iCs/>
          <w:sz w:val="22"/>
          <w:szCs w:val="22"/>
        </w:rPr>
        <w:t>’</w:t>
      </w:r>
      <w:r w:rsidRPr="00EE2F9D">
        <w:rPr>
          <w:rFonts w:ascii="Courier New" w:hAnsi="Courier New" w:cs="Courier New"/>
          <w:sz w:val="22"/>
          <w:szCs w:val="22"/>
        </w:rPr>
        <w:t>”(</w:t>
      </w:r>
      <w:r w:rsidRPr="00EE2F9D">
        <w:rPr>
          <w:rFonts w:ascii="Courier New" w:hAnsi="Courier New" w:cs="Courier New"/>
          <w:sz w:val="22"/>
          <w:szCs w:val="22"/>
        </w:rPr>
        <w:t>NR)</w:t>
      </w:r>
    </w:p>
    <w:p w:rsidR="00563BAB" w:rsidRPr="003B578C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2AD4EE3A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3B578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F34345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3C472E" w:rsidRPr="003B578C" w:rsidP="007F4EEB" w14:paraId="7F86C59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381808" cy="1105232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8775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88" cy="1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C323DD" w:rsidRPr="00C323DD" w:rsidP="00C323DD" w14:paraId="60B8B58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>A presente Emenda tem por objetivo concretizar a diretriz de igualdade e diversidade já expressamente incorporada à Lei Complementar nº 403/2025, estabelecendo participação mínima de 50% (cinquenta por cento) de mulheres no conjunto dos cargos de agentes políticos e cargos de provimento em comissão efetivamente ocupados na Administração Pública Municipal Direta, com aplicação a partir do mandato municipal subsequente.</w:t>
      </w:r>
    </w:p>
    <w:p w:rsidR="00C323DD" w:rsidRPr="00C323DD" w:rsidP="00C323DD" w14:paraId="2918029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A proposta não parte da introdução de princípio inteiramente novo na organização administrativa do Município. O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art. 51, inciso V, da LC nº 403/2025</w:t>
      </w:r>
      <w:r w:rsidRPr="00C323DD">
        <w:rPr>
          <w:rFonts w:ascii="Courier New" w:hAnsi="Courier New" w:cs="Courier New"/>
          <w:sz w:val="22"/>
          <w:szCs w:val="22"/>
        </w:rPr>
        <w:t>, atualmente em vigor, já determina que as nomeações sejam realizadas de forma a estimular o aumento da representatividade feminina, negra e das pessoas com deficiência, buscando igualdade na ocupação das posições de liderança. A alteração proposta preserva essa política e converte, especificamente em relação à participação das mulheres, uma diretriz programática já existente em parâmetro objetivo de implementação.</w:t>
      </w:r>
    </w:p>
    <w:p w:rsidR="00C323DD" w:rsidRPr="00C323DD" w:rsidP="00C323DD" w14:paraId="1927FD7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A medida encontra fundamento nos arts.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3º, IV, e 5º, caput e inciso I, da Constituição Federal</w:t>
      </w:r>
      <w:r w:rsidRPr="00C323DD">
        <w:rPr>
          <w:rFonts w:ascii="Courier New" w:hAnsi="Courier New" w:cs="Courier New"/>
          <w:sz w:val="22"/>
          <w:szCs w:val="22"/>
        </w:rPr>
        <w:t xml:space="preserve">, que estabelecem, respectivamente, a promoção do bem de todos sem discriminação em razão do sexo e a igualdade de direitos e obrigações entre homens e mulheres. A igualdade constitucional não impede a adoção de medidas destinadas a superar desigualdades materiais; ao contrário, constitui fundamento para políticas públicas de promoção da participação feminina nos espaços de decisão. </w:t>
      </w:r>
    </w:p>
    <w:p w:rsidR="00C323DD" w:rsidRPr="00C323DD" w:rsidP="00C323DD" w14:paraId="2E33E1A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O Brasil também assumiu obrigação internacional específica sobre a matéria por meio da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 xml:space="preserve">Convenção sobre a Eliminação de Todas as Formas de Discriminação contra a Mulher –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CEDAW</w:t>
      </w:r>
      <w:r w:rsidRPr="00C323DD">
        <w:rPr>
          <w:rFonts w:ascii="Courier New" w:hAnsi="Courier New" w:cs="Courier New"/>
          <w:sz w:val="22"/>
          <w:szCs w:val="22"/>
        </w:rPr>
        <w:t xml:space="preserve">, promulgada pelo Decreto Federal nº 4.377/2002. Seu art. 3º prevê a adoção de medidas apropriadas, inclusive legislativas, para assegurar o pleno desenvolvimento e progresso das mulheres. O art. 4º reconhece expressamente a legitimidade de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medidas especiais de caráter temporário destinadas a acelerar a igualdade de fato entre homens e mulheres</w:t>
      </w:r>
      <w:r w:rsidRPr="00C323DD">
        <w:rPr>
          <w:rFonts w:ascii="Courier New" w:hAnsi="Courier New" w:cs="Courier New"/>
          <w:sz w:val="22"/>
          <w:szCs w:val="22"/>
        </w:rPr>
        <w:t xml:space="preserve">, e o art. 7º determina medidas destinadas a assegurar às mulheres, em igualdade de condições, a participação na formulação e execução de políticas governamentais, a ocupação de cargos públicos e o exercício de funções públicas em todos os níveis de governo. </w:t>
      </w:r>
    </w:p>
    <w:p w:rsidR="00C323DD" w:rsidRPr="00C323DD" w:rsidP="00C323DD" w14:paraId="17647D3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Existe, ainda, fundamento institucional especificamente local. A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1ª Conferência Municipal dos Direitos da Mulher de Mogi Mirim</w:t>
      </w:r>
      <w:r w:rsidRPr="00C323DD">
        <w:rPr>
          <w:rFonts w:ascii="Courier New" w:hAnsi="Courier New" w:cs="Courier New"/>
          <w:sz w:val="22"/>
          <w:szCs w:val="22"/>
        </w:rPr>
        <w:t xml:space="preserve">, realizada em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16 de julho de 2025</w:t>
      </w:r>
      <w:r w:rsidRPr="00C323DD">
        <w:rPr>
          <w:rFonts w:ascii="Courier New" w:hAnsi="Courier New" w:cs="Courier New"/>
          <w:sz w:val="22"/>
          <w:szCs w:val="22"/>
        </w:rPr>
        <w:t xml:space="preserve"> pela Prefeitura e pelo Conselho Municipal dos Direitos da Mulher, aprovou entre suas propostas justamente a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criação de lei estabelecendo reserva mínima de 50% de representatividade feminina nas nomeações para cargos comissionados dos Poderes Executivo e Legislativo</w:t>
      </w:r>
      <w:r w:rsidRPr="00C323DD">
        <w:rPr>
          <w:rFonts w:ascii="Courier New" w:hAnsi="Courier New" w:cs="Courier New"/>
          <w:sz w:val="22"/>
          <w:szCs w:val="22"/>
        </w:rPr>
        <w:t xml:space="preserve">. A informação consta de publicação </w:t>
      </w:r>
      <w:r w:rsidRPr="00C323DD">
        <w:rPr>
          <w:rFonts w:ascii="Courier New" w:hAnsi="Courier New" w:cs="Courier New"/>
          <w:sz w:val="22"/>
          <w:szCs w:val="22"/>
        </w:rPr>
        <w:t>oficial da Prefeitura Municipal. Assim, a presente alteração também constitui instrumento legislativo para materializar demanda formulada em espaço institucional de participação social promovido pelo próprio Município.</w:t>
      </w:r>
    </w:p>
    <w:p w:rsidR="00C323DD" w:rsidRPr="00C323DD" w:rsidP="00C323DD" w14:paraId="05246DA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A legitimidade constitucional de medidas afirmativas destinadas a ampliar a presença feminina também encontra apoio na jurisprudência do Supremo Tribunal Federal, embora os precedentes existentes não tratem especificamente de cargos comissionados municipais. Na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ADI nº 7.492/AM</w:t>
      </w:r>
      <w:r w:rsidRPr="00C323DD">
        <w:rPr>
          <w:rFonts w:ascii="Courier New" w:hAnsi="Courier New" w:cs="Courier New"/>
          <w:sz w:val="22"/>
          <w:szCs w:val="22"/>
        </w:rPr>
        <w:t xml:space="preserve">, o Plenário do STF reconheceu expressamente como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política de ação afirmativa</w:t>
      </w:r>
      <w:r w:rsidRPr="00C323DD">
        <w:rPr>
          <w:rFonts w:ascii="Courier New" w:hAnsi="Courier New" w:cs="Courier New"/>
          <w:sz w:val="22"/>
          <w:szCs w:val="22"/>
        </w:rPr>
        <w:t xml:space="preserve"> a reserva de vagas exclusivamente destinadas às mulheres no ingresso na Polícia Militar, afastando apenas a interpretação que transformava o percentual em teto máximo e, com isso, impedia as candidatas de disputar as demais vagas. O precedente demonstra que a adoção de percentual mínimo em benefício da participação feminina não é, por sua própria natureza, incompatível com o princípio constitucional da igualdade. </w:t>
      </w:r>
    </w:p>
    <w:p w:rsidR="00C323DD" w:rsidRPr="00C323DD" w:rsidP="00C323DD" w14:paraId="618EEB1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A Administração Pública brasileira também vem adotando políticas institucionais de promoção da paridade de gênero em posições de liderança. A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Resolução CNJ nº 525/2023</w:t>
      </w:r>
      <w:r w:rsidRPr="00C323DD">
        <w:rPr>
          <w:rFonts w:ascii="Courier New" w:hAnsi="Courier New" w:cs="Courier New"/>
          <w:sz w:val="22"/>
          <w:szCs w:val="22"/>
        </w:rPr>
        <w:t xml:space="preserve">, por exemplo, estabeleceu ação afirmativa destinada a ampliar o acesso de magistradas aos tribunais de segundo grau, utilizando editais exclusivos para mulheres até a aproximação da paridade. No Estado de São Paulo, a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Resolução nº 15/2024 do Tribunal de Contas do Estado</w:t>
      </w:r>
      <w:r w:rsidRPr="00C323DD">
        <w:rPr>
          <w:rFonts w:ascii="Courier New" w:hAnsi="Courier New" w:cs="Courier New"/>
          <w:sz w:val="22"/>
          <w:szCs w:val="22"/>
        </w:rPr>
        <w:t xml:space="preserve"> instituiu medidas para aumentar a representatividade feminina nas funções de chefia e cargos de direção até alcançar proporcionalidade de gênero. Esses atos não constituem precedentes judiciais sobre a validade desta Emenda municipal, mas demonstram a adoção institucional de políticas de igualdade de gênero em órgãos públicos de elevada relevância.</w:t>
      </w:r>
    </w:p>
    <w:p w:rsidR="00C323DD" w:rsidRPr="00C323DD" w:rsidP="00C323DD" w14:paraId="42DCD7B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A fixação do marco temporal em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1º de janeiro de 2029</w:t>
      </w:r>
      <w:r w:rsidRPr="00C323DD">
        <w:rPr>
          <w:rFonts w:ascii="Courier New" w:hAnsi="Courier New" w:cs="Courier New"/>
          <w:sz w:val="22"/>
          <w:szCs w:val="22"/>
        </w:rPr>
        <w:t xml:space="preserve"> permite que a política seja implementada de forma prospectiva, sem repercussão sobre o quadro de nomeações constituído durante o atual mandato. Também permite que a próxima Administração organize previamente suas nomeações em conformidade com o percentual estabelecido.</w:t>
      </w:r>
    </w:p>
    <w:p w:rsidR="00C323DD" w:rsidRPr="00C323DD" w:rsidP="00C323DD" w14:paraId="2D4D9BC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A redação preserva expressamente as demais dimensões de diversidade já contempladas pelo art. 51, V, da LC nº 403/2025. A substituição da expressão atualmente utilizada, “portadores de deficiência”, por </w:t>
      </w:r>
      <w:r w:rsidRPr="00C323DD">
        <w:rPr>
          <w:rFonts w:ascii="Courier New" w:hAnsi="Courier New" w:cs="Courier New"/>
          <w:b/>
          <w:bCs/>
          <w:sz w:val="22"/>
          <w:szCs w:val="22"/>
        </w:rPr>
        <w:t>“pessoas com deficiência”</w:t>
      </w:r>
      <w:r w:rsidRPr="00C323DD">
        <w:rPr>
          <w:rFonts w:ascii="Courier New" w:hAnsi="Courier New" w:cs="Courier New"/>
          <w:sz w:val="22"/>
          <w:szCs w:val="22"/>
        </w:rPr>
        <w:t xml:space="preserve"> adequa a terminologia à Convenção Internacional sobre os Direitos das Pessoas com Deficiência, incorporada ao ordenamento brasileiro com equivalência constitucional pelo procedimento do art. 5º, § 3º, da Constituição, sem reduzir a proteção já existente.</w:t>
      </w:r>
    </w:p>
    <w:p w:rsidR="00C323DD" w:rsidRPr="00C323DD" w:rsidP="00C323DD" w14:paraId="155E99A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>A Emenda tampouco cria novos cargos, majora vencimentos ou aumenta o quantitativo de postos da Administração. Seu objeto é exclusivamente estabelecer critério de composição para cargos que já integrem a estrutura administrativa e estejam efetivamente ocupados.</w:t>
      </w:r>
    </w:p>
    <w:p w:rsidR="00C323DD" w:rsidRPr="003B578C" w:rsidP="00C323DD" w14:paraId="18D92311" w14:textId="5E76C0A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23DD">
        <w:rPr>
          <w:rFonts w:ascii="Courier New" w:hAnsi="Courier New" w:cs="Courier New"/>
          <w:sz w:val="22"/>
          <w:szCs w:val="22"/>
        </w:rPr>
        <w:t xml:space="preserve">Por essas razões, a proposta encontra fundamento na Constituição Federal, na </w:t>
      </w:r>
      <w:r w:rsidRPr="00C323DD">
        <w:rPr>
          <w:rFonts w:ascii="Courier New" w:hAnsi="Courier New" w:cs="Courier New"/>
          <w:sz w:val="22"/>
          <w:szCs w:val="22"/>
        </w:rPr>
        <w:t>CEDAW</w:t>
      </w:r>
      <w:r w:rsidRPr="00C323DD">
        <w:rPr>
          <w:rFonts w:ascii="Courier New" w:hAnsi="Courier New" w:cs="Courier New"/>
          <w:sz w:val="22"/>
          <w:szCs w:val="22"/>
        </w:rPr>
        <w:t>, na própria Lei Complementar Municipal nº 403/2025 e em deliberação formal da 1ª Conferência Municipal dos Direitos da Mulher de Mogi Mirim, buscando converter em medida concreta o compromisso municipal já existente com maior igualdade na ocupação das posições de liderança.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958A6"/>
    <w:rsid w:val="000A6F2E"/>
    <w:rsid w:val="000B08D8"/>
    <w:rsid w:val="000B4EDA"/>
    <w:rsid w:val="000B5735"/>
    <w:rsid w:val="000C7B42"/>
    <w:rsid w:val="000E658D"/>
    <w:rsid w:val="000F672F"/>
    <w:rsid w:val="00105020"/>
    <w:rsid w:val="00106142"/>
    <w:rsid w:val="00123E53"/>
    <w:rsid w:val="00124163"/>
    <w:rsid w:val="001277C1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210E8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2E59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37737"/>
    <w:rsid w:val="0035352F"/>
    <w:rsid w:val="0035370A"/>
    <w:rsid w:val="00355277"/>
    <w:rsid w:val="00374AF7"/>
    <w:rsid w:val="00386202"/>
    <w:rsid w:val="003B578C"/>
    <w:rsid w:val="003C472E"/>
    <w:rsid w:val="003C4E89"/>
    <w:rsid w:val="003C62C3"/>
    <w:rsid w:val="003C76C6"/>
    <w:rsid w:val="003D5A48"/>
    <w:rsid w:val="003E0416"/>
    <w:rsid w:val="003E2852"/>
    <w:rsid w:val="003E7309"/>
    <w:rsid w:val="00401038"/>
    <w:rsid w:val="00402140"/>
    <w:rsid w:val="00416282"/>
    <w:rsid w:val="00426E1A"/>
    <w:rsid w:val="004401C1"/>
    <w:rsid w:val="00452524"/>
    <w:rsid w:val="004622A3"/>
    <w:rsid w:val="00462DD5"/>
    <w:rsid w:val="00465074"/>
    <w:rsid w:val="00466795"/>
    <w:rsid w:val="00473BA2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21BE4"/>
    <w:rsid w:val="00537FEA"/>
    <w:rsid w:val="005433F5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559F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41C5"/>
    <w:rsid w:val="006267C8"/>
    <w:rsid w:val="006319D1"/>
    <w:rsid w:val="00634822"/>
    <w:rsid w:val="00634D61"/>
    <w:rsid w:val="00642056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44EA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2765C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170A1"/>
    <w:rsid w:val="00923162"/>
    <w:rsid w:val="0094153C"/>
    <w:rsid w:val="00954EDC"/>
    <w:rsid w:val="00962D1C"/>
    <w:rsid w:val="00973DE8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754DD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48C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23DD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572B9"/>
    <w:rsid w:val="00D64727"/>
    <w:rsid w:val="00D706B5"/>
    <w:rsid w:val="00D73096"/>
    <w:rsid w:val="00D77E88"/>
    <w:rsid w:val="00D80661"/>
    <w:rsid w:val="00D878CD"/>
    <w:rsid w:val="00DA1EBB"/>
    <w:rsid w:val="00DB2B0E"/>
    <w:rsid w:val="00DD1C8A"/>
    <w:rsid w:val="00DD1D31"/>
    <w:rsid w:val="00DD36B8"/>
    <w:rsid w:val="00DD547B"/>
    <w:rsid w:val="00DF249B"/>
    <w:rsid w:val="00DF4981"/>
    <w:rsid w:val="00E14DC4"/>
    <w:rsid w:val="00E25FF8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E2F9D"/>
    <w:rsid w:val="00EF46EB"/>
    <w:rsid w:val="00F01200"/>
    <w:rsid w:val="00F05A3A"/>
    <w:rsid w:val="00F34345"/>
    <w:rsid w:val="00F349A0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4</Pages>
  <Words>1135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75</cp:revision>
  <cp:lastPrinted>2026-09-11T16:32:49Z</cp:lastPrinted>
  <dcterms:created xsi:type="dcterms:W3CDTF">2026-01-09T01:35:00Z</dcterms:created>
  <dcterms:modified xsi:type="dcterms:W3CDTF">2026-09-11T15:20:00Z</dcterms:modified>
</cp:coreProperties>
</file>