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53D3D" w:rsidRPr="00D53D3D" w:rsidP="00D53D3D">
      <w:pPr>
        <w:suppressAutoHyphens w:val="0"/>
        <w:jc w:val="both"/>
        <w:rPr>
          <w:rFonts w:ascii="Arial" w:hAnsi="Arial" w:cs="Arial"/>
          <w:b/>
          <w:bCs/>
          <w:sz w:val="24"/>
          <w:szCs w:val="24"/>
        </w:rPr>
      </w:pPr>
      <w:r w:rsidRPr="00D53D3D">
        <w:rPr>
          <w:rFonts w:ascii="Arial" w:hAnsi="Arial" w:cs="Arial"/>
          <w:b/>
          <w:bCs/>
          <w:sz w:val="24"/>
          <w:szCs w:val="24"/>
        </w:rPr>
        <w:t>Projeto de Lei Nº 98/2026</w:t>
      </w:r>
      <w:r w:rsidRPr="00D53D3D">
        <w:rPr>
          <w:rFonts w:ascii="Arial" w:hAnsi="Arial" w:cs="Arial"/>
          <w:b/>
          <w:bCs/>
          <w:sz w:val="24"/>
          <w:szCs w:val="24"/>
        </w:rPr>
        <w:t>Projeto de Lei Nº 98/2026</w:t>
      </w:r>
    </w:p>
    <w:p w:rsidR="00D53D3D" w:rsidP="00D53D3D">
      <w:pPr>
        <w:suppressAutoHyphens w:val="0"/>
        <w:jc w:val="both"/>
        <w:rPr>
          <w:rFonts w:ascii="Arial" w:hAnsi="Arial" w:cs="Arial"/>
          <w:iCs/>
          <w:sz w:val="24"/>
          <w:szCs w:val="24"/>
        </w:rPr>
      </w:pPr>
    </w:p>
    <w:p w:rsidR="00D53D3D" w:rsidP="00D53D3D">
      <w:pPr>
        <w:suppressAutoHyphens w:val="0"/>
        <w:jc w:val="both"/>
        <w:rPr>
          <w:rFonts w:ascii="Arial" w:hAnsi="Arial" w:cs="Arial"/>
          <w:iCs/>
          <w:sz w:val="24"/>
          <w:szCs w:val="24"/>
        </w:rPr>
      </w:pPr>
    </w:p>
    <w:p w:rsidR="00D53D3D" w:rsidP="00D53D3D">
      <w:pPr>
        <w:suppressAutoHyphens w:val="0"/>
        <w:jc w:val="both"/>
        <w:rPr>
          <w:rFonts w:ascii="Arial" w:hAnsi="Arial" w:cs="Arial"/>
          <w:iCs/>
          <w:sz w:val="24"/>
          <w:szCs w:val="24"/>
        </w:rPr>
      </w:pPr>
    </w:p>
    <w:p w:rsidR="00414C3D" w:rsidRPr="00B40C70" w:rsidP="00414C3D">
      <w:pPr>
        <w:ind w:left="2268"/>
        <w:jc w:val="both"/>
        <w:rPr>
          <w:rFonts w:ascii="Arial" w:hAnsi="Arial" w:cs="Arial"/>
          <w:b/>
          <w:sz w:val="24"/>
        </w:rPr>
      </w:pPr>
      <w:r w:rsidRPr="00B40C70">
        <w:rPr>
          <w:rFonts w:ascii="Arial" w:hAnsi="Arial" w:cs="Arial"/>
          <w:b/>
          <w:sz w:val="24"/>
        </w:rPr>
        <w:t>ALTERA DISPOSITIVOS DA LEI MUNICIPAL Nº 3.132, DE 4 DE FEVEREIRO DE 1999, PARA ADEQUAR AS FINALIDADES DO FUNDO MUNICIPAL DE SEGURANÇA E EDUCAÇÃO DE TRÂNSITO (FUMSET</w:t>
      </w:r>
      <w:r w:rsidR="00F35095">
        <w:rPr>
          <w:rFonts w:ascii="Arial" w:hAnsi="Arial" w:cs="Arial"/>
          <w:b/>
          <w:sz w:val="24"/>
        </w:rPr>
        <w:t>),</w:t>
      </w:r>
      <w:r w:rsidRPr="00B40C70" w:rsidR="00F35095">
        <w:rPr>
          <w:rFonts w:ascii="Arial" w:hAnsi="Arial" w:cs="Arial"/>
          <w:b/>
          <w:sz w:val="24"/>
        </w:rPr>
        <w:t xml:space="preserve"> À</w:t>
      </w:r>
      <w:r w:rsidRPr="00B40C70">
        <w:rPr>
          <w:rFonts w:ascii="Arial" w:hAnsi="Arial" w:cs="Arial"/>
          <w:b/>
          <w:sz w:val="24"/>
        </w:rPr>
        <w:t xml:space="preserve"> REDAÇÃO NACIONAL DO ART. 320 DO CÓDIGO DE TRÂNSITO BRASILEIRO, INCLUINDO O CUSTEIO DO PROCESSO DE HABILITAÇÃO DE CONDUTORES DE BAIXA RENDA (PROGRAMA CNH SOCIAL), AUTORIZA A CELEBRAÇÃO DE CONVÊNIO COM O DETRAN-SP, ESTABELECE NORMAS DE TRANSPARÊNCIA, REVOGA DISPOSITIVOS OBSOLETOS, E DÁ OUTRAS PROVIDÊNCIAS.</w:t>
      </w:r>
    </w:p>
    <w:p w:rsidR="00414C3D" w:rsidRPr="00B40C70" w:rsidP="00414C3D">
      <w:pPr>
        <w:jc w:val="center"/>
        <w:rPr>
          <w:rFonts w:ascii="Arial" w:hAnsi="Arial" w:cs="Arial"/>
          <w:sz w:val="24"/>
        </w:rPr>
      </w:pPr>
    </w:p>
    <w:p w:rsidR="00414C3D" w:rsidRPr="00B40C70" w:rsidP="00414C3D">
      <w:pPr>
        <w:jc w:val="center"/>
        <w:rPr>
          <w:rFonts w:ascii="Arial" w:hAnsi="Arial" w:cs="Arial"/>
          <w:b/>
          <w:sz w:val="24"/>
        </w:rPr>
      </w:pPr>
      <w:r w:rsidRPr="00B40C70">
        <w:rPr>
          <w:rFonts w:ascii="Arial" w:hAnsi="Arial" w:cs="Arial"/>
          <w:sz w:val="24"/>
        </w:rPr>
        <w:br/>
      </w:r>
      <w:r w:rsidRPr="00B40C70">
        <w:rPr>
          <w:rFonts w:ascii="Arial" w:hAnsi="Arial" w:cs="Arial"/>
          <w:b/>
          <w:sz w:val="24"/>
        </w:rPr>
        <w:t>A CÂMARA MUNICIPAL DE MOGI MIRIM APROVA:</w:t>
      </w:r>
    </w:p>
    <w:p w:rsidR="00414C3D" w:rsidRPr="00B40C70" w:rsidP="00414C3D">
      <w:pPr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  <w:r w:rsidRPr="00B40C70">
        <w:rPr>
          <w:rFonts w:ascii="Arial" w:hAnsi="Arial" w:cs="Arial"/>
          <w:sz w:val="24"/>
        </w:rPr>
        <w:t>Art. 1º O Artigo 1º da Lei Municipal nº 3.132, de 4 de fevereiro de 1999, passa a vigorar com a seguinte redação:</w:t>
      </w: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 xml:space="preserve">"Art. 1º Fica criado o </w:t>
      </w:r>
      <w:r w:rsidRPr="00414C3D">
        <w:rPr>
          <w:b/>
          <w:i/>
          <w:sz w:val="24"/>
        </w:rPr>
        <w:t>FUNDO MUNICIPAL DE SEGURANÇA E EDUCAÇÃO DE TRÂNSITO (FUMSET)</w:t>
      </w:r>
      <w:r w:rsidRPr="00B40C70">
        <w:rPr>
          <w:i/>
          <w:sz w:val="24"/>
        </w:rPr>
        <w:t>, que tem por objetivo garantir condições financeiras para o custeio e investimentos destinados, exclusivamente, às ações de sinalização, engenharia de tráfego, engenharia de campo, policiamento, fiscalização, renovação de frota circulante, educação de trânsito e o custeio do processo de habilitação de condutores de baixa renda, em estrita consonância coma nova redação do art. 320 da Lei Federal nº 9.503/1997 (Código de Trânsito Brasileiro)."</w:t>
      </w: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  <w:r w:rsidRPr="00B40C70">
        <w:rPr>
          <w:rFonts w:ascii="Arial" w:hAnsi="Arial" w:cs="Arial"/>
          <w:sz w:val="24"/>
        </w:rPr>
        <w:t>Art. 2º O Artigo 3º da Lei Municipal nº 3.132, de 4 de fevereiro de 1999, passa a vigorar com a revogação do Inciso V, alteração do Inciso VIII, acrescido do Inciso XIII e de parágrafos de forma subsequente, com a seguinte redação:</w:t>
      </w:r>
    </w:p>
    <w:p w:rsidR="00414C3D" w:rsidRPr="00B40C70" w:rsidP="00414C3D">
      <w:pPr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"Art. 3º (...)</w:t>
      </w: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br/>
        <w:t>V – (REVOGADO);</w:t>
      </w: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(...)</w:t>
      </w:r>
      <w:r w:rsidRPr="00B40C70">
        <w:rPr>
          <w:i/>
          <w:sz w:val="24"/>
        </w:rPr>
        <w:br/>
        <w:t>VIII – investimentos na infraestrutura de sinalização e engenharia de tráfego e de campo;</w:t>
      </w: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(...)</w:t>
      </w:r>
      <w:r w:rsidRPr="00B40C70">
        <w:rPr>
          <w:i/>
          <w:sz w:val="24"/>
        </w:rPr>
        <w:br/>
        <w:t xml:space="preserve">XIII – custeio integral ou parcial do Programa CNH Social Municipal, destinado à formação e emissão da Carteira Nacional de Habilitação para cidadãos de baixa renda inscritos no Cadastro Único (CadÚnico), </w:t>
      </w:r>
      <w:r w:rsidRPr="00B40C70">
        <w:rPr>
          <w:i/>
          <w:sz w:val="24"/>
        </w:rPr>
        <w:t>observado o disposto no § 5º do Art. 320 do Código de Trânsito Brasileiro.</w:t>
      </w:r>
    </w:p>
    <w:p w:rsidR="00414C3D" w:rsidRPr="00B40C70" w:rsidP="00414C3D">
      <w:pPr>
        <w:ind w:left="1134" w:right="1134"/>
        <w:jc w:val="both"/>
        <w:rPr>
          <w:i/>
          <w:sz w:val="24"/>
        </w:rPr>
      </w:pP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§ 1º Para o cumprimento do disposto no Inciso XIII, o Conselho Diretor do FUMSET reservará na proposta orçamentária anual o percentual mínimo de 5% (cinco por cento) da receita estimada de arrecadação do valor das multas de trânsito descrita no Art. 2º, inciso I desta Lei.</w:t>
      </w:r>
    </w:p>
    <w:p w:rsidR="00414C3D" w:rsidRPr="00B40C70" w:rsidP="00414C3D">
      <w:pPr>
        <w:ind w:left="1134" w:right="1134"/>
        <w:jc w:val="both"/>
        <w:rPr>
          <w:i/>
          <w:sz w:val="24"/>
        </w:rPr>
      </w:pP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§ 2º Os recursos descritos no parágrafo anterior serão aplicados estritamente na cobertura de taxas de emissão de documentos, exames periciais obrigatórios e aulas teóricas e práticas junto a Centros de Formação de Condutores (CFCs) devidamente credenciados.</w:t>
      </w:r>
    </w:p>
    <w:p w:rsidR="00414C3D" w:rsidRPr="00B40C70" w:rsidP="00414C3D">
      <w:pPr>
        <w:ind w:left="1134" w:right="1134"/>
        <w:jc w:val="both"/>
        <w:rPr>
          <w:i/>
          <w:sz w:val="24"/>
        </w:rPr>
      </w:pP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§ 3º O órgão executivo de trânsito publicará periodicamente, em sítio eletrônico oficial, os dados sobre a receita arrecadada com a cobrança de multas de trânsito e sua respectiva destinação, em cumprimento ao § 2º do Art. 320 do Código de Trânsito Brasileiro."</w:t>
      </w: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  <w:r w:rsidRPr="00B40C70">
        <w:rPr>
          <w:rFonts w:ascii="Arial" w:hAnsi="Arial" w:cs="Arial"/>
          <w:sz w:val="24"/>
        </w:rPr>
        <w:t>Art. 3º A Lei Municipal nº 3.132, de 4 de fevereiro de 1999, passa a vigorar acrescida do Artigo 5º-A, com a seguinte redação:</w:t>
      </w:r>
    </w:p>
    <w:p w:rsidR="00414C3D" w:rsidRPr="00B40C70" w:rsidP="00414C3D">
      <w:pPr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left="1134" w:right="1134"/>
        <w:jc w:val="both"/>
        <w:rPr>
          <w:i/>
          <w:sz w:val="24"/>
        </w:rPr>
      </w:pPr>
      <w:r w:rsidRPr="00B40C70">
        <w:rPr>
          <w:i/>
          <w:sz w:val="24"/>
        </w:rPr>
        <w:t>"Art. 5º-A. Fica o Poder Executivo Municipal autorizado a celebrar Convênio de Cooperação Técnica e Financeira com o Departamento Estadual de Trânsito de São Paulo (DETRAN-SP), com a finalidade de viabilizar a triagem de candidatos, o repasse de valores e os atos cadastrais necessários à execução do Programa CNH Social no Município."</w:t>
      </w: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</w:p>
    <w:p w:rsidR="00414C3D" w:rsidRPr="00B40C70" w:rsidP="00414C3D">
      <w:pPr>
        <w:ind w:firstLine="709"/>
        <w:jc w:val="both"/>
        <w:rPr>
          <w:rFonts w:ascii="Arial" w:hAnsi="Arial" w:cs="Arial"/>
          <w:sz w:val="24"/>
        </w:rPr>
      </w:pPr>
      <w:r w:rsidRPr="00B40C70">
        <w:rPr>
          <w:rFonts w:ascii="Arial" w:hAnsi="Arial" w:cs="Arial"/>
          <w:sz w:val="24"/>
        </w:rPr>
        <w:t>Art. 4º Esta Lei entra em vigor na data de sua publicação.</w:t>
      </w:r>
    </w:p>
    <w:p w:rsidR="00414C3D" w:rsidRPr="00B40C70" w:rsidP="00414C3D">
      <w:pPr>
        <w:jc w:val="both"/>
        <w:rPr>
          <w:rFonts w:ascii="Arial" w:hAnsi="Arial" w:cs="Arial"/>
          <w:sz w:val="24"/>
        </w:rPr>
      </w:pPr>
    </w:p>
    <w:p w:rsidR="00D53D3D" w:rsidP="00D53D3D">
      <w:pPr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53D3D" w:rsidRPr="00D53D3D" w:rsidP="00D53D3D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D53D3D" w:rsidP="00D53D3D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D53D3D" w:rsidP="00D53D3D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420540" w:rsidRPr="00C255B5" w:rsidP="00420540">
      <w:pPr>
        <w:spacing w:line="360" w:lineRule="auto"/>
        <w:jc w:val="center"/>
        <w:rPr>
          <w:rFonts w:ascii="Arial" w:hAnsi="Arial" w:cs="Arial"/>
          <w:sz w:val="22"/>
          <w:szCs w:val="24"/>
        </w:rPr>
      </w:pPr>
      <w:r w:rsidRPr="00C255B5">
        <w:rPr>
          <w:rFonts w:ascii="Arial" w:hAnsi="Arial" w:cs="Arial"/>
          <w:sz w:val="22"/>
          <w:szCs w:val="24"/>
        </w:rPr>
        <w:t>SALA DAS SESSÕES “VEREADOR SANTO RÓTOLLI”, ao</w:t>
      </w:r>
      <w:r w:rsidR="00F35095">
        <w:rPr>
          <w:rFonts w:ascii="Arial" w:hAnsi="Arial" w:cs="Arial"/>
          <w:sz w:val="22"/>
          <w:szCs w:val="24"/>
        </w:rPr>
        <w:t>s 14</w:t>
      </w:r>
      <w:r w:rsidRPr="00C255B5">
        <w:rPr>
          <w:rFonts w:ascii="Arial" w:hAnsi="Arial" w:cs="Arial"/>
          <w:sz w:val="22"/>
          <w:szCs w:val="24"/>
        </w:rPr>
        <w:t xml:space="preserve"> de </w:t>
      </w:r>
      <w:r w:rsidR="00F35095">
        <w:rPr>
          <w:rFonts w:ascii="Arial" w:hAnsi="Arial" w:cs="Arial"/>
          <w:sz w:val="22"/>
          <w:szCs w:val="24"/>
        </w:rPr>
        <w:t>setembro</w:t>
      </w:r>
      <w:r w:rsidRPr="00C255B5">
        <w:rPr>
          <w:rFonts w:ascii="Arial" w:hAnsi="Arial" w:cs="Arial"/>
          <w:sz w:val="22"/>
          <w:szCs w:val="24"/>
        </w:rPr>
        <w:t xml:space="preserve"> de 202</w:t>
      </w:r>
      <w:r>
        <w:rPr>
          <w:rFonts w:ascii="Arial" w:hAnsi="Arial" w:cs="Arial"/>
          <w:sz w:val="22"/>
          <w:szCs w:val="24"/>
        </w:rPr>
        <w:t>5</w:t>
      </w:r>
      <w:r w:rsidRPr="00C255B5">
        <w:rPr>
          <w:rFonts w:ascii="Arial" w:hAnsi="Arial" w:cs="Arial"/>
          <w:sz w:val="22"/>
          <w:szCs w:val="24"/>
        </w:rPr>
        <w:t>.</w:t>
      </w:r>
    </w:p>
    <w:p w:rsidR="00420540" w:rsidRPr="00B51FCE" w:rsidP="0042054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20540" w:rsidRPr="00B51FCE" w:rsidP="0042054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B3423">
        <w:rPr>
          <w:rFonts w:ascii="Arial" w:eastAsia="Arial" w:hAnsi="Arial"/>
          <w:b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1859955</wp:posOffset>
            </wp:positionH>
            <wp:positionV relativeFrom="paragraph">
              <wp:posOffset>69215</wp:posOffset>
            </wp:positionV>
            <wp:extent cx="2253967" cy="563888"/>
            <wp:effectExtent l="0" t="0" r="0" b="7620"/>
            <wp:wrapNone/>
            <wp:docPr id="4" name="Imagem 4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31808" name="Picture 1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967" cy="56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540" w:rsidRPr="00B51FCE" w:rsidP="00420540">
      <w:pPr>
        <w:spacing w:line="360" w:lineRule="auto"/>
        <w:jc w:val="center"/>
        <w:rPr>
          <w:rFonts w:ascii="Arial" w:hAnsi="Arial" w:cs="Arial"/>
          <w:i/>
          <w:szCs w:val="24"/>
        </w:rPr>
      </w:pPr>
    </w:p>
    <w:p w:rsidR="00420540" w:rsidRPr="00B51FCE" w:rsidP="00420540">
      <w:pPr>
        <w:spacing w:line="360" w:lineRule="auto"/>
        <w:jc w:val="center"/>
        <w:rPr>
          <w:rFonts w:ascii="Arial" w:hAnsi="Arial" w:cs="Arial"/>
          <w:szCs w:val="24"/>
        </w:rPr>
      </w:pPr>
    </w:p>
    <w:p w:rsidR="00420540" w:rsidP="0042054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Pr="00F50CCE">
        <w:rPr>
          <w:rFonts w:ascii="Arial" w:hAnsi="Arial" w:cs="Arial"/>
          <w:b/>
          <w:sz w:val="24"/>
          <w:szCs w:val="24"/>
        </w:rPr>
        <w:t>EREADOR LUIS ROBERTO TAVARES</w:t>
      </w:r>
    </w:p>
    <w:p w:rsidR="00D53D3D" w:rsidRPr="00D53D3D" w:rsidP="00D53D3D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D53D3D" w:rsidRPr="00D53D3D" w:rsidP="00D53D3D">
      <w:pPr>
        <w:suppressAutoHyphens w:val="0"/>
        <w:spacing w:before="480" w:after="48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071CF" w:rsidRPr="007071CF" w:rsidP="007071CF">
      <w:pPr>
        <w:suppressAutoHyphens w:val="0"/>
        <w:jc w:val="right"/>
        <w:rPr>
          <w:bCs/>
          <w:i/>
          <w:sz w:val="24"/>
          <w:szCs w:val="24"/>
        </w:rPr>
      </w:pPr>
      <w:r w:rsidRPr="007071CF">
        <w:rPr>
          <w:bCs/>
          <w:i/>
          <w:sz w:val="24"/>
          <w:szCs w:val="24"/>
        </w:rPr>
        <w:t>Continuação</w:t>
      </w:r>
    </w:p>
    <w:p w:rsidR="007071CF" w:rsidP="007071CF">
      <w:pPr>
        <w:suppressAutoHyphens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D53D3D" w:rsidRPr="00D53D3D" w:rsidP="007071CF">
      <w:pPr>
        <w:suppressAutoHyphens w:val="0"/>
        <w:jc w:val="center"/>
        <w:rPr>
          <w:rFonts w:ascii="Arial" w:hAnsi="Arial" w:cs="Arial"/>
          <w:b/>
          <w:bCs/>
          <w:sz w:val="24"/>
          <w:szCs w:val="24"/>
        </w:rPr>
      </w:pPr>
      <w:r w:rsidRPr="00D53D3D">
        <w:rPr>
          <w:rFonts w:ascii="Arial" w:hAnsi="Arial" w:cs="Arial"/>
          <w:b/>
          <w:bCs/>
          <w:sz w:val="24"/>
          <w:szCs w:val="24"/>
        </w:rPr>
        <w:t>JUSTIFICATIVA</w:t>
      </w:r>
    </w:p>
    <w:p w:rsidR="00420540" w:rsidP="007071CF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420540" w:rsidP="007071CF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>O presente Projeto de Lei tem por objetivo primordial promover a adequação da Lei Municipal nº 3.132, de 4 de fevereiro de 1999, que instituiu o Fundo Municipal de Segurança e Educação de Trânsito (FUMSET), às normas cogentes e de observância obrigatória estabelecidas no Código de Trânsito Brasileiro (CTB).</w:t>
      </w: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 xml:space="preserve">A necessidade de atualização legislativa não representa uma mera faculdade, mas um dever do legislador municipal, uma vez que a redação do </w:t>
      </w:r>
      <w:r w:rsidRPr="007071CF">
        <w:rPr>
          <w:rFonts w:ascii="Arial" w:hAnsi="Arial" w:cs="Arial"/>
          <w:bCs/>
          <w:sz w:val="24"/>
          <w:szCs w:val="24"/>
        </w:rPr>
        <w:t>art.</w:t>
      </w:r>
      <w:r w:rsidRPr="007071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7071CF">
        <w:rPr>
          <w:rFonts w:ascii="Arial" w:hAnsi="Arial" w:cs="Arial"/>
          <w:bCs/>
          <w:sz w:val="24"/>
          <w:szCs w:val="24"/>
        </w:rPr>
        <w:t>320 do CTB (Lei Federal nº 9.503/1997)</w:t>
      </w:r>
      <w:r w:rsidRPr="007071CF">
        <w:rPr>
          <w:rFonts w:ascii="Arial" w:hAnsi="Arial" w:cs="Arial"/>
          <w:sz w:val="24"/>
          <w:szCs w:val="24"/>
        </w:rPr>
        <w:t xml:space="preserve">, já em plena vigência, estabelece um rol taxativo e exclusivo para a aplicação da receita arrecadada com a cobrança de multas de trânsito. A norma federal é clara ao incluir, entre as destinações, o </w:t>
      </w:r>
      <w:r w:rsidRPr="007071CF">
        <w:rPr>
          <w:rFonts w:ascii="Arial" w:hAnsi="Arial" w:cs="Arial"/>
          <w:bCs/>
          <w:sz w:val="24"/>
          <w:szCs w:val="24"/>
        </w:rPr>
        <w:t>"custeio do processo de habilitação de condutores de baixa renda"</w:t>
      </w:r>
      <w:r w:rsidRPr="007071CF">
        <w:rPr>
          <w:rFonts w:ascii="Arial" w:hAnsi="Arial" w:cs="Arial"/>
          <w:sz w:val="24"/>
          <w:szCs w:val="24"/>
        </w:rPr>
        <w:t>, finalidade de altíssimo alcance social que esta propositura visa implementar em nosso Município.</w:t>
      </w: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>Ciente da importância de que a atuação legislativa se paute pela mais estrita observância aos preceitos constitucionais, cumpre demonstrar a plena constitucionalidade da presente proposta, tanto em seu aspecto material quanto formal.</w:t>
      </w:r>
    </w:p>
    <w:p w:rsidR="007071CF" w:rsidP="007071CF">
      <w:pPr>
        <w:suppressAutoHyphens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7071CF" w:rsidRPr="007071CF" w:rsidP="007071CF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b/>
          <w:bCs/>
          <w:sz w:val="24"/>
          <w:szCs w:val="24"/>
        </w:rPr>
        <w:t>Da Constitucionalidade Formal e da Inexistência de Vício de Iniciativa</w:t>
      </w: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 xml:space="preserve">Reconhece-se que a Constituição Federal, em seu art. 61, § 1º, estabelece um rol de matérias cuja iniciativa legislativa é reservada ao Chefe do Poder Executivo, notadamente aquelas que tratam da estrutura e atribuições de órgãos da administração e do regime jurídico de seus servidores. Contudo, o presente projeto </w:t>
      </w:r>
      <w:r w:rsidRPr="007071CF">
        <w:rPr>
          <w:rFonts w:ascii="Arial" w:hAnsi="Arial" w:cs="Arial"/>
          <w:bCs/>
          <w:sz w:val="24"/>
          <w:szCs w:val="24"/>
        </w:rPr>
        <w:t>não incorre em vício de iniciativa</w:t>
      </w:r>
      <w:r w:rsidRPr="007071CF">
        <w:rPr>
          <w:rFonts w:ascii="Arial" w:hAnsi="Arial" w:cs="Arial"/>
          <w:sz w:val="24"/>
          <w:szCs w:val="24"/>
        </w:rPr>
        <w:t xml:space="preserve">, encontrando-se em plena conformidade com a mais balizada jurisprudência do </w:t>
      </w:r>
      <w:r w:rsidRPr="007071CF">
        <w:rPr>
          <w:rFonts w:ascii="Arial" w:hAnsi="Arial" w:cs="Arial"/>
          <w:bCs/>
          <w:sz w:val="24"/>
          <w:szCs w:val="24"/>
        </w:rPr>
        <w:t>Supremo Tribunal Federal (STF)</w:t>
      </w:r>
      <w:r w:rsidRPr="007071CF">
        <w:rPr>
          <w:rFonts w:ascii="Arial" w:hAnsi="Arial" w:cs="Arial"/>
          <w:sz w:val="24"/>
          <w:szCs w:val="24"/>
        </w:rPr>
        <w:t>.</w:t>
      </w: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 xml:space="preserve">A matéria foi definitivamente pacificada pelo STF no julgamento do </w:t>
      </w:r>
      <w:r w:rsidRPr="007071CF">
        <w:rPr>
          <w:rFonts w:ascii="Arial" w:hAnsi="Arial" w:cs="Arial"/>
          <w:bCs/>
          <w:sz w:val="24"/>
          <w:szCs w:val="24"/>
        </w:rPr>
        <w:t>Tema 917 de Repercussão Geral (ARE 878.911 RG/RJ)</w:t>
      </w:r>
      <w:r w:rsidRPr="007071CF">
        <w:rPr>
          <w:rFonts w:ascii="Arial" w:hAnsi="Arial" w:cs="Arial"/>
          <w:sz w:val="24"/>
          <w:szCs w:val="24"/>
        </w:rPr>
        <w:t>, que fixou a seguinte tese:</w:t>
      </w: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left="1134" w:right="1134"/>
        <w:jc w:val="both"/>
        <w:rPr>
          <w:i/>
          <w:sz w:val="24"/>
          <w:szCs w:val="24"/>
        </w:rPr>
      </w:pPr>
      <w:r w:rsidRPr="007071CF">
        <w:rPr>
          <w:b/>
          <w:bCs/>
          <w:i/>
          <w:sz w:val="24"/>
          <w:szCs w:val="24"/>
        </w:rPr>
        <w:t>"Não usurpa a competência privativa do Chefe do Poder Executivo lei que, embora crie despesa para a Administração Pública, não trata da sua estrutura ou da atribuição de seus órgãos nem do regime jurídico de servidores públicos."</w:t>
      </w:r>
      <w:r w:rsidR="00E70375">
        <w:rPr>
          <w:b/>
          <w:bCs/>
          <w:i/>
          <w:sz w:val="24"/>
          <w:szCs w:val="24"/>
        </w:rPr>
        <w:t xml:space="preserve"> grifamos</w:t>
      </w: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>O projeto em tela amolda-se com perfeição à hipótese validada pelo STF, pelos seguintes motivos:</w:t>
      </w: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P="007071CF">
      <w:pPr>
        <w:numPr>
          <w:ilvl w:val="0"/>
          <w:numId w:val="7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b/>
          <w:bCs/>
          <w:sz w:val="24"/>
          <w:szCs w:val="24"/>
        </w:rPr>
        <w:t>NÃO HÁ CRIAÇÃO OU ALTERAÇÃO NA ESTRUTURA DA ADMINISTRAÇÃO:</w:t>
      </w:r>
      <w:r w:rsidRPr="007071CF">
        <w:rPr>
          <w:rFonts w:ascii="Arial" w:hAnsi="Arial" w:cs="Arial"/>
          <w:sz w:val="24"/>
          <w:szCs w:val="24"/>
        </w:rPr>
        <w:t xml:space="preserve"> O Fundo (FUMSET) e seu Conselho Diretor são preexistentes, criados pela lei original de 1999. A proposta não cria secretarias, não altera a composição de conselhos nem modifica a estrutura de qualquer órgão municipal.</w:t>
      </w:r>
    </w:p>
    <w:p w:rsidR="007071CF" w:rsidP="007071CF">
      <w:pPr>
        <w:suppressAutoHyphens w:val="0"/>
        <w:ind w:left="720"/>
        <w:jc w:val="both"/>
        <w:rPr>
          <w:rFonts w:ascii="Arial" w:hAnsi="Arial" w:cs="Arial"/>
          <w:sz w:val="24"/>
          <w:szCs w:val="24"/>
        </w:rPr>
      </w:pPr>
    </w:p>
    <w:p w:rsidR="007071CF" w:rsidP="007071CF">
      <w:pPr>
        <w:numPr>
          <w:ilvl w:val="0"/>
          <w:numId w:val="7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b/>
          <w:bCs/>
          <w:sz w:val="24"/>
          <w:szCs w:val="24"/>
        </w:rPr>
        <w:t>NÃO HÁ INTERFERÊNCIA NAS ATRIBUIÇÕES DOS ÓRGÃOS:</w:t>
      </w:r>
      <w:r w:rsidRPr="007071CF">
        <w:rPr>
          <w:rFonts w:ascii="Arial" w:hAnsi="Arial" w:cs="Arial"/>
          <w:sz w:val="24"/>
          <w:szCs w:val="24"/>
        </w:rPr>
        <w:t xml:space="preserve"> A lei estabelece uma política pública e a destinação de uma verba, mas não interfere na gestão ou na forma como os órgãos executarão tal política. A implementação do "Programa CNH Social" permanece na esfera de execução do Poder Executivo.</w:t>
      </w:r>
    </w:p>
    <w:p w:rsidR="007071CF" w:rsidP="007071CF">
      <w:pPr>
        <w:pStyle w:val="ListParagrap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numPr>
          <w:ilvl w:val="0"/>
          <w:numId w:val="7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b/>
          <w:bCs/>
          <w:sz w:val="24"/>
          <w:szCs w:val="24"/>
        </w:rPr>
        <w:t>NÃO HÁ ALTERAÇÃO NO REGIME JURÍDICO DE SERVIDORES:</w:t>
      </w:r>
      <w:r w:rsidRPr="007071CF">
        <w:rPr>
          <w:rFonts w:ascii="Arial" w:hAnsi="Arial" w:cs="Arial"/>
          <w:sz w:val="24"/>
          <w:szCs w:val="24"/>
        </w:rPr>
        <w:t xml:space="preserve"> A matéria do projeto é completamente alheia ao regime de pessoal do Município.</w:t>
      </w: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 xml:space="preserve">Adicionalmente, é imperioso destacar que a despesa criada para o custeio do programa </w:t>
      </w:r>
      <w:r w:rsidRPr="007071CF">
        <w:rPr>
          <w:rFonts w:ascii="Arial" w:hAnsi="Arial" w:cs="Arial"/>
          <w:bCs/>
          <w:sz w:val="24"/>
          <w:szCs w:val="24"/>
        </w:rPr>
        <w:t>não onera o Tesouro Municipal com recursos de livre alocação</w:t>
      </w:r>
      <w:r>
        <w:rPr>
          <w:rFonts w:ascii="Arial" w:hAnsi="Arial" w:cs="Arial"/>
          <w:sz w:val="24"/>
          <w:szCs w:val="24"/>
        </w:rPr>
        <w:t>, já que a</w:t>
      </w:r>
      <w:r w:rsidRPr="007071CF">
        <w:rPr>
          <w:rFonts w:ascii="Arial" w:hAnsi="Arial" w:cs="Arial"/>
          <w:sz w:val="24"/>
          <w:szCs w:val="24"/>
        </w:rPr>
        <w:t xml:space="preserve"> fonte de custeio é uma </w:t>
      </w:r>
      <w:r w:rsidRPr="007071CF">
        <w:rPr>
          <w:rFonts w:ascii="Arial" w:hAnsi="Arial" w:cs="Arial"/>
          <w:bCs/>
          <w:sz w:val="24"/>
          <w:szCs w:val="24"/>
        </w:rPr>
        <w:t>receita vinculada</w:t>
      </w:r>
      <w:r w:rsidRPr="007071CF">
        <w:rPr>
          <w:rFonts w:ascii="Arial" w:hAnsi="Arial" w:cs="Arial"/>
          <w:sz w:val="24"/>
          <w:szCs w:val="24"/>
        </w:rPr>
        <w:t xml:space="preserve"> – as multas de trânsito –, cuja aplicação já é estritamente delimitada pelo art. 320 do CTB. Este projeto, portanto, não gera uma nova despesa orçamentária no sentido estrito, mas apenas direciona, em conformidade com a lei federal, uma verba que não poderia, de qualquer forma, ser utilizada para outro fim.</w:t>
      </w: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 xml:space="preserve">Nesse sentido, a jurisprudência do STF tem reiteradamente validado leis de iniciativa parlamentar que, sem invadir a esfera da organização administrativa, promovem políticas públicas, como no caso da </w:t>
      </w:r>
      <w:r w:rsidRPr="007071CF">
        <w:rPr>
          <w:rFonts w:ascii="Arial" w:hAnsi="Arial" w:cs="Arial"/>
          <w:bCs/>
          <w:sz w:val="24"/>
          <w:szCs w:val="24"/>
        </w:rPr>
        <w:t>ADI 4727</w:t>
      </w:r>
      <w:r w:rsidRPr="007071CF">
        <w:rPr>
          <w:rFonts w:ascii="Arial" w:hAnsi="Arial" w:cs="Arial"/>
          <w:sz w:val="24"/>
          <w:szCs w:val="24"/>
        </w:rPr>
        <w:t>, que considerou constitucional lei de iniciativa parlamentar que instituiu o programa "Bolsa Aluguel".</w:t>
      </w:r>
    </w:p>
    <w:p w:rsidR="007071CF" w:rsidP="007071CF">
      <w:pPr>
        <w:suppressAutoHyphens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7071CF" w:rsidRPr="007071CF" w:rsidP="007071CF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b/>
          <w:bCs/>
          <w:sz w:val="24"/>
          <w:szCs w:val="24"/>
        </w:rPr>
        <w:t>Da Constitucionalidade Material e do Mérito</w:t>
      </w:r>
    </w:p>
    <w:p w:rsidR="007071CF" w:rsidP="007071CF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>Materialmente, a constitucionalidade da proposta é inequívoca. O Município, no exercício de sua competência suplementar (Art. 30, II, CF), está simplesmente internalizando em sua legislação uma determinação clara e vigente da lei federal de trânsito. A jurisprudência pátria, aliás, é firme em exigir dos municípios essa estrita observância ao rol do art. 320 do CTB, como se vê no julgado do TJ-PI:</w:t>
      </w:r>
    </w:p>
    <w:p w:rsidR="007071CF" w:rsidP="007071CF">
      <w:pPr>
        <w:suppressAutoHyphens w:val="0"/>
        <w:ind w:left="1134" w:right="1134"/>
        <w:jc w:val="both"/>
        <w:rPr>
          <w:b/>
          <w:bCs/>
          <w:i/>
          <w:sz w:val="24"/>
          <w:szCs w:val="24"/>
        </w:rPr>
      </w:pPr>
    </w:p>
    <w:p w:rsidR="007071CF" w:rsidRPr="007071CF" w:rsidP="007071CF">
      <w:pPr>
        <w:suppressAutoHyphens w:val="0"/>
        <w:ind w:left="1134" w:right="1134"/>
        <w:jc w:val="both"/>
        <w:rPr>
          <w:i/>
          <w:sz w:val="24"/>
          <w:szCs w:val="24"/>
        </w:rPr>
      </w:pPr>
      <w:r w:rsidRPr="007071CF">
        <w:rPr>
          <w:b/>
          <w:bCs/>
          <w:i/>
          <w:sz w:val="24"/>
          <w:szCs w:val="24"/>
        </w:rPr>
        <w:t>TJ-PI — APELAÇÃO / REMESSA NECESSÁRIA 08007711020198180031 — Publicado em 12/01/2022</w:t>
      </w:r>
    </w:p>
    <w:p w:rsidR="007071CF" w:rsidP="007071CF">
      <w:pPr>
        <w:suppressAutoHyphens w:val="0"/>
        <w:ind w:left="1134" w:right="1134"/>
        <w:jc w:val="both"/>
        <w:rPr>
          <w:i/>
          <w:sz w:val="24"/>
          <w:szCs w:val="24"/>
        </w:rPr>
      </w:pPr>
    </w:p>
    <w:p w:rsidR="007071CF" w:rsidRPr="007071CF" w:rsidP="007071CF">
      <w:pPr>
        <w:suppressAutoHyphens w:val="0"/>
        <w:ind w:left="1134" w:right="1134"/>
        <w:jc w:val="both"/>
        <w:rPr>
          <w:i/>
          <w:sz w:val="24"/>
          <w:szCs w:val="24"/>
        </w:rPr>
      </w:pPr>
      <w:r w:rsidRPr="007071CF">
        <w:rPr>
          <w:i/>
          <w:sz w:val="24"/>
          <w:szCs w:val="24"/>
        </w:rPr>
        <w:t xml:space="preserve">As verbas arrecadas com multas de trânsito têm destinação vinculada ao rol previsto no art. 320 do CTB, de modo que sua utilização para recapeamento asfáltico </w:t>
      </w:r>
      <w:r w:rsidRPr="007071CF">
        <w:rPr>
          <w:i/>
          <w:sz w:val="24"/>
          <w:szCs w:val="24"/>
        </w:rPr>
        <w:t>demonstra-se</w:t>
      </w:r>
      <w:r w:rsidRPr="007071CF">
        <w:rPr>
          <w:i/>
          <w:sz w:val="24"/>
          <w:szCs w:val="24"/>
        </w:rPr>
        <w:t xml:space="preserve"> contrária à lei. </w:t>
      </w:r>
    </w:p>
    <w:p w:rsidR="007071CF" w:rsidP="007071CF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:rsid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>No mérito, a instituição do "Programa CNH Social" representa um avanço civilizatório para Mogi Mirim, convertendo o caráter punitivo da multa em um poderoso instrumento de inclusão social, fomento à empregabilidade e geração de renda para a população de baixa renda.</w:t>
      </w: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p w:rsidR="007071CF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  <w:r w:rsidRPr="007071CF">
        <w:rPr>
          <w:rFonts w:ascii="Arial" w:hAnsi="Arial" w:cs="Arial"/>
          <w:sz w:val="24"/>
          <w:szCs w:val="24"/>
        </w:rPr>
        <w:t>Diante do exposto, demonstrada a plena constitucionalidade, a legalidade e o inegável interesse público da matéria, contamos com o apoio e o voto favorável dos nobres pares para a aprovação deste relevante Projeto de Lei.</w:t>
      </w:r>
    </w:p>
    <w:p w:rsidR="00ED5A18" w:rsidRPr="007071CF" w:rsidP="007071CF">
      <w:pPr>
        <w:suppressAutoHyphens w:val="0"/>
        <w:ind w:firstLine="2268"/>
        <w:jc w:val="both"/>
        <w:rPr>
          <w:rFonts w:ascii="Arial" w:hAnsi="Arial" w:cs="Arial"/>
          <w:sz w:val="24"/>
          <w:szCs w:val="24"/>
        </w:rPr>
      </w:pP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8CB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:rsidR="00EE58CB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8CB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58CB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filled="f" stroked="f">
              <v:textbox style="mso-fit-shape-to-text:t" inset="0,0,0,0">
                <w:txbxContent>
                  <w:p w:rsidR="00EE58CB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8CB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58CB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EE58CB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7630" distR="89535" simplePos="0" relativeHeight="251664384" behindDoc="0" locked="0" layoutInCell="0" allowOverlap="1">
              <wp:simplePos x="0" y="0"/>
              <wp:positionH relativeFrom="column">
                <wp:posOffset>-363220</wp:posOffset>
              </wp:positionH>
              <wp:positionV relativeFrom="paragraph">
                <wp:posOffset>50800</wp:posOffset>
              </wp:positionV>
              <wp:extent cx="1081405" cy="75247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81405" cy="7524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58CB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373974070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70527281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5.15pt;height:59.25pt;margin-top:4pt;margin-left:-28.6pt;mso-wrap-distance-bottom:0;mso-wrap-distance-left:6.9pt;mso-wrap-distance-right:7.05pt;mso-wrap-distance-top:0;mso-wrap-style:square;position:absolute;visibility:visible;v-text-anchor:top;z-index:251665408" o:allowincell="f" filled="f" stroked="f">
              <v:textbox inset="0,0,0,0">
                <w:txbxContent>
                  <w:p w:rsidR="00EE58CB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EE58CB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EE58CB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8CB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7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58CB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EE58CB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7630" distR="89535" simplePos="0" relativeHeight="251666432" behindDoc="0" locked="0" layoutInCell="0" allowOverlap="1">
              <wp:simplePos x="0" y="0"/>
              <wp:positionH relativeFrom="column">
                <wp:posOffset>-363220</wp:posOffset>
              </wp:positionH>
              <wp:positionV relativeFrom="paragraph">
                <wp:posOffset>50800</wp:posOffset>
              </wp:positionV>
              <wp:extent cx="1081405" cy="752475"/>
              <wp:effectExtent l="0" t="0" r="0" b="0"/>
              <wp:wrapSquare wrapText="bothSides"/>
              <wp:docPr id="19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81405" cy="7524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58CB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284683982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2992434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5.15pt;height:59.25pt;margin-top:4pt;margin-left:-28.6pt;mso-wrap-distance-bottom:0;mso-wrap-distance-left:6.9pt;mso-wrap-distance-right:7.05pt;mso-wrap-distance-top:0;mso-wrap-style:square;position:absolute;visibility:visible;v-text-anchor:top;z-index:251667456" o:allowincell="f" filled="f" stroked="f">
              <v:textbox inset="0,0,0,0">
                <w:txbxContent>
                  <w:p w:rsidR="00EE58CB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2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EE58CB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EE58CB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66334872"/>
    <w:lvl w:ilvl="0">
      <w:start w:val="1"/>
      <w:numFmt w:val="bullet"/>
      <w:lvlText w:val="§"/>
      <w:lvlJc w:val="left"/>
    </w:lvl>
    <w:lvl w:ilvl="1">
      <w:start w:val="1"/>
      <w:numFmt w:val="bullet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1">
    <w:nsid w:val="00000002"/>
    <w:multiLevelType w:val="hybridMultilevel"/>
    <w:tmpl w:val="74B0DC50"/>
    <w:lvl w:ilvl="0">
      <w:start w:val="35"/>
      <w:numFmt w:val="upperLetter"/>
      <w:lvlText w:val="%1"/>
      <w:lvlJc w:val="left"/>
    </w:lvl>
    <w:lvl w:ilvl="1">
      <w:start w:val="1"/>
      <w:numFmt w:val="bullet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2">
    <w:nsid w:val="00000003"/>
    <w:multiLevelType w:val="hybridMultilevel"/>
    <w:tmpl w:val="19495CFE"/>
    <w:lvl w:ilvl="0">
      <w:start w:val="61"/>
      <w:numFmt w:val="upperLetter"/>
      <w:lvlText w:val="%1"/>
      <w:lvlJc w:val="left"/>
    </w:lvl>
    <w:lvl w:ilvl="1">
      <w:start w:val="1"/>
      <w:numFmt w:val="bullet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3">
    <w:nsid w:val="21962D20"/>
    <w:multiLevelType w:val="multilevel"/>
    <w:tmpl w:val="C12C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F9687D"/>
    <w:multiLevelType w:val="multilevel"/>
    <w:tmpl w:val="9F2A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5A55D7"/>
    <w:multiLevelType w:val="multilevel"/>
    <w:tmpl w:val="D3BA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1E2EB9"/>
    <w:multiLevelType w:val="multilevel"/>
    <w:tmpl w:val="59DE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9F"/>
    <w:rsid w:val="00193287"/>
    <w:rsid w:val="001B29F8"/>
    <w:rsid w:val="002228F3"/>
    <w:rsid w:val="00414C3D"/>
    <w:rsid w:val="00420540"/>
    <w:rsid w:val="00440D2C"/>
    <w:rsid w:val="00481999"/>
    <w:rsid w:val="005D7447"/>
    <w:rsid w:val="005E0BA1"/>
    <w:rsid w:val="005F33DD"/>
    <w:rsid w:val="00644D05"/>
    <w:rsid w:val="007071CF"/>
    <w:rsid w:val="007347E0"/>
    <w:rsid w:val="00856D71"/>
    <w:rsid w:val="00880943"/>
    <w:rsid w:val="008A5ED1"/>
    <w:rsid w:val="008D7A5B"/>
    <w:rsid w:val="00926A3F"/>
    <w:rsid w:val="00995FF7"/>
    <w:rsid w:val="009E0A89"/>
    <w:rsid w:val="009E4CA4"/>
    <w:rsid w:val="00A0239F"/>
    <w:rsid w:val="00AA2BBB"/>
    <w:rsid w:val="00B067D1"/>
    <w:rsid w:val="00B40C70"/>
    <w:rsid w:val="00B51FCE"/>
    <w:rsid w:val="00C255B5"/>
    <w:rsid w:val="00D078F8"/>
    <w:rsid w:val="00D53D3D"/>
    <w:rsid w:val="00D549D2"/>
    <w:rsid w:val="00D72A58"/>
    <w:rsid w:val="00E70375"/>
    <w:rsid w:val="00ED5A18"/>
    <w:rsid w:val="00EE41BA"/>
    <w:rsid w:val="00EE58CB"/>
    <w:rsid w:val="00F35095"/>
    <w:rsid w:val="00F46A0A"/>
    <w:rsid w:val="00F50CCE"/>
    <w:rsid w:val="00FB010A"/>
    <w:rsid w:val="00FC5199"/>
    <w:rsid w:val="00FD68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6B9AAB0-4E2A-4CA1-A248-E2D8A17B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Ttulo2Char"/>
    <w:uiPriority w:val="9"/>
    <w:qFormat/>
    <w:rsid w:val="00ED5A18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Ttulo3Char"/>
    <w:uiPriority w:val="9"/>
    <w:qFormat/>
    <w:rsid w:val="00ED5A18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RodapChar">
    <w:name w:val="Rodapé Char"/>
    <w:link w:val="Footer"/>
    <w:uiPriority w:val="99"/>
    <w:qFormat/>
    <w:rsid w:val="00D373CE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semiHidden/>
    <w:qFormat/>
    <w:rsid w:val="00CA0F1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ecxmsoplaintext">
    <w:name w:val="ecxmsoplaintext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ecxdefault">
    <w:name w:val="ecxdefault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Textbody">
    <w:name w:val="Text body"/>
    <w:basedOn w:val="Normal"/>
    <w:rsid w:val="00995FF7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8A5ED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A5ED1"/>
    <w:rPr>
      <w:color w:val="954F72" w:themeColor="followedHyperlink"/>
      <w:u w:val="single"/>
    </w:rPr>
  </w:style>
  <w:style w:type="character" w:customStyle="1" w:styleId="Ttulo2Char">
    <w:name w:val="Título 2 Char"/>
    <w:basedOn w:val="DefaultParagraphFont"/>
    <w:link w:val="Heading2"/>
    <w:uiPriority w:val="9"/>
    <w:rsid w:val="00ED5A18"/>
    <w:rPr>
      <w:b/>
      <w:bCs/>
      <w:sz w:val="36"/>
      <w:szCs w:val="36"/>
    </w:rPr>
  </w:style>
  <w:style w:type="character" w:customStyle="1" w:styleId="Ttulo3Char">
    <w:name w:val="Título 3 Char"/>
    <w:basedOn w:val="DefaultParagraphFont"/>
    <w:link w:val="Heading3"/>
    <w:uiPriority w:val="9"/>
    <w:rsid w:val="00ED5A1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D5A18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ED5A18"/>
    <w:rPr>
      <w:b/>
      <w:bCs/>
    </w:rPr>
  </w:style>
  <w:style w:type="paragraph" w:styleId="ListParagraph">
    <w:name w:val="List Paragraph"/>
    <w:basedOn w:val="Normal"/>
    <w:uiPriority w:val="34"/>
    <w:qFormat/>
    <w:rsid w:val="00ED5A1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53D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F4434-3C65-435F-9580-531694974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1269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    DE 2010</vt:lpstr>
    </vt:vector>
  </TitlesOfParts>
  <Company>Camara Municipal</Company>
  <LinksUpToDate>false</LinksUpToDate>
  <CharactersWithSpaces>8107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    DE 2010</dc:title>
  <dc:creator>Secretaria</dc:creator>
  <cp:lastModifiedBy>Robertinho2</cp:lastModifiedBy>
  <cp:revision>7</cp:revision>
  <cp:lastPrinted>2026-09-14T23:16:59Z</cp:lastPrinted>
  <dcterms:created xsi:type="dcterms:W3CDTF">2026-07-30T14:00:00Z</dcterms:created>
  <dcterms:modified xsi:type="dcterms:W3CDTF">2026-09-14T23:02:00Z</dcterms:modified>
  <dc:language>pt-BR</dc:language>
</cp:coreProperties>
</file>