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9E579D" w:rsidRPr="004C447B" w:rsidP="009E579D">
      <w:pPr>
        <w:jc w:val="both"/>
        <w:rPr>
          <w:rFonts w:ascii="Palatino Linotype" w:hAnsi="Palatino Linotype"/>
          <w:sz w:val="24"/>
          <w:szCs w:val="24"/>
        </w:rPr>
      </w:pPr>
      <w:r w:rsidRPr="004C447B">
        <w:rPr>
          <w:rFonts w:ascii="Palatino Linotype" w:hAnsi="Palatino Linotype"/>
          <w:sz w:val="24"/>
          <w:szCs w:val="24"/>
        </w:rPr>
        <w:t>Projeto de Resolução Nº 2/2026</w:t>
      </w:r>
      <w:r w:rsidRPr="004C447B">
        <w:rPr>
          <w:rFonts w:ascii="Palatino Linotype" w:hAnsi="Palatino Linotype"/>
          <w:sz w:val="24"/>
          <w:szCs w:val="24"/>
        </w:rPr>
        <w:t>Projeto de Resolução Nº 2/2026</w:t>
      </w:r>
    </w:p>
    <w:p w:rsidR="00563EB4" w:rsidRPr="004C447B" w:rsidP="00E135E9">
      <w:pPr>
        <w:spacing w:line="360" w:lineRule="auto"/>
        <w:rPr>
          <w:rFonts w:ascii="Palatino Linotype" w:hAnsi="Palatino Linotype"/>
          <w:b/>
          <w:sz w:val="24"/>
          <w:szCs w:val="24"/>
        </w:rPr>
      </w:pPr>
    </w:p>
    <w:p w:rsidR="005569A3" w:rsidRPr="004C447B" w:rsidP="00360135">
      <w:pPr>
        <w:ind w:left="4395"/>
        <w:jc w:val="both"/>
        <w:rPr>
          <w:rFonts w:ascii="Palatino Linotype" w:hAnsi="Palatino Linotype" w:cs="Arial"/>
          <w:sz w:val="24"/>
          <w:szCs w:val="24"/>
        </w:rPr>
      </w:pPr>
      <w:r w:rsidRPr="004C447B">
        <w:rPr>
          <w:rFonts w:ascii="Palatino Linotype" w:hAnsi="Palatino Linotype"/>
          <w:bCs/>
          <w:iCs/>
          <w:sz w:val="24"/>
          <w:szCs w:val="24"/>
        </w:rPr>
        <w:t>“</w:t>
      </w:r>
      <w:r w:rsidRPr="004C447B" w:rsidR="00F45A5E">
        <w:rPr>
          <w:rFonts w:ascii="Palatino Linotype" w:hAnsi="Palatino Linotype" w:cs="Arial"/>
          <w:sz w:val="24"/>
          <w:szCs w:val="24"/>
        </w:rPr>
        <w:t xml:space="preserve">Dispõe sobre a </w:t>
      </w:r>
      <w:r w:rsidRPr="004C447B" w:rsidR="00360135">
        <w:rPr>
          <w:rFonts w:ascii="Palatino Linotype" w:hAnsi="Palatino Linotype" w:cs="Arial"/>
          <w:sz w:val="24"/>
          <w:szCs w:val="24"/>
        </w:rPr>
        <w:t>revogação do Artigo 2º da Resolução nº 239, de 26 de fevereiro de 2002, cumprindo determinação do E. Tribunal de Contas do Estado de São Paulo.</w:t>
      </w:r>
      <w:r w:rsidRPr="004C447B" w:rsidR="00A32A96">
        <w:rPr>
          <w:rFonts w:ascii="Palatino Linotype" w:hAnsi="Palatino Linotype" w:cs="Arial"/>
          <w:sz w:val="24"/>
          <w:szCs w:val="24"/>
        </w:rPr>
        <w:t>"</w:t>
      </w:r>
    </w:p>
    <w:p w:rsidR="00A32A96" w:rsidRPr="004C447B" w:rsidP="00A32A96">
      <w:pPr>
        <w:ind w:left="4395"/>
        <w:jc w:val="both"/>
        <w:rPr>
          <w:rFonts w:ascii="Palatino Linotype" w:hAnsi="Palatino Linotype" w:cs="Arial"/>
          <w:sz w:val="24"/>
          <w:szCs w:val="24"/>
        </w:rPr>
      </w:pPr>
    </w:p>
    <w:p w:rsidR="00360135" w:rsidRPr="004C447B" w:rsidP="00B12152">
      <w:pPr>
        <w:jc w:val="both"/>
        <w:rPr>
          <w:rFonts w:ascii="Palatino Linotype" w:hAnsi="Palatino Linotype" w:cs="Arial"/>
          <w:sz w:val="24"/>
          <w:szCs w:val="24"/>
        </w:rPr>
      </w:pPr>
      <w:r w:rsidRPr="004C447B">
        <w:rPr>
          <w:rFonts w:ascii="Palatino Linotype" w:hAnsi="Palatino Linotype" w:cs="Arial"/>
          <w:sz w:val="24"/>
          <w:szCs w:val="24"/>
        </w:rPr>
        <w:tab/>
      </w:r>
    </w:p>
    <w:p w:rsidR="00B32BDC" w:rsidRPr="004C447B" w:rsidP="00B32BDC">
      <w:pPr>
        <w:pStyle w:val="NormalWeb"/>
        <w:spacing w:line="240" w:lineRule="atLeast"/>
        <w:ind w:firstLine="708"/>
        <w:jc w:val="both"/>
        <w:rPr>
          <w:rFonts w:ascii="Palatino Linotype" w:hAnsi="Palatino Linotype"/>
        </w:rPr>
      </w:pPr>
      <w:r w:rsidRPr="004C447B">
        <w:rPr>
          <w:rFonts w:ascii="Palatino Linotype" w:hAnsi="Palatino Linotype" w:cs="Arial"/>
          <w:b/>
          <w:szCs w:val="24"/>
        </w:rPr>
        <w:t>Cristiano Gaioto</w:t>
      </w:r>
      <w:bookmarkStart w:id="0" w:name="_GoBack"/>
      <w:bookmarkEnd w:id="0"/>
      <w:r w:rsidRPr="004C447B">
        <w:rPr>
          <w:rFonts w:ascii="Palatino Linotype" w:hAnsi="Palatino Linotype" w:cs="Arial"/>
          <w:b/>
          <w:szCs w:val="24"/>
        </w:rPr>
        <w:t>,</w:t>
      </w:r>
      <w:r w:rsidRPr="004C447B" w:rsidR="005569A3">
        <w:rPr>
          <w:rFonts w:ascii="Palatino Linotype" w:hAnsi="Palatino Linotype" w:cs="Arial"/>
          <w:szCs w:val="24"/>
        </w:rPr>
        <w:t xml:space="preserve"> Presidente da Câmara Municipal de Mogi Mirim, </w:t>
      </w:r>
      <w:r w:rsidRPr="004C447B" w:rsidR="00F45A5E">
        <w:rPr>
          <w:rFonts w:ascii="Palatino Linotype" w:hAnsi="Palatino Linotype" w:cs="Arial"/>
          <w:szCs w:val="24"/>
        </w:rPr>
        <w:t xml:space="preserve">Estado de São </w:t>
      </w:r>
      <w:r w:rsidRPr="004C447B" w:rsidR="00A43E35">
        <w:rPr>
          <w:rFonts w:ascii="Palatino Linotype" w:hAnsi="Palatino Linotype" w:cs="Arial"/>
          <w:szCs w:val="24"/>
        </w:rPr>
        <w:t>Paulo, no</w:t>
      </w:r>
      <w:r w:rsidRPr="004C447B" w:rsidR="00360135">
        <w:rPr>
          <w:rFonts w:ascii="Palatino Linotype" w:hAnsi="Palatino Linotype" w:cs="Arial"/>
          <w:szCs w:val="24"/>
        </w:rPr>
        <w:t xml:space="preserve"> uso </w:t>
      </w:r>
      <w:r w:rsidRPr="004C447B" w:rsidR="00A43E35">
        <w:rPr>
          <w:rFonts w:ascii="Palatino Linotype" w:hAnsi="Palatino Linotype" w:cs="Arial"/>
          <w:szCs w:val="24"/>
        </w:rPr>
        <w:t>das atribuições</w:t>
      </w:r>
      <w:r w:rsidRPr="004C447B" w:rsidR="00360135">
        <w:rPr>
          <w:rFonts w:ascii="Palatino Linotype" w:hAnsi="Palatino Linotype" w:cs="Arial"/>
          <w:szCs w:val="24"/>
        </w:rPr>
        <w:t xml:space="preserve"> que são conferidas </w:t>
      </w:r>
      <w:r w:rsidRPr="004C447B">
        <w:rPr>
          <w:rFonts w:ascii="Palatino Linotype" w:hAnsi="Palatino Linotype"/>
        </w:rPr>
        <w:t>pelo Art. 18, inciso I, alínea “i” e inciso IV, alínea “g” da Resolução nº 276, de 09 de novembro de 2.010.</w:t>
      </w:r>
    </w:p>
    <w:p w:rsidR="00F45A5E" w:rsidRPr="004C447B" w:rsidP="00B12152">
      <w:pPr>
        <w:jc w:val="both"/>
        <w:rPr>
          <w:rFonts w:ascii="Palatino Linotype" w:hAnsi="Palatino Linotype" w:cs="Arial"/>
          <w:b/>
          <w:sz w:val="24"/>
          <w:szCs w:val="24"/>
        </w:rPr>
      </w:pPr>
    </w:p>
    <w:p w:rsidR="005569A3" w:rsidRPr="004C447B" w:rsidP="005569A3">
      <w:pPr>
        <w:jc w:val="both"/>
        <w:rPr>
          <w:rFonts w:ascii="Palatino Linotype" w:hAnsi="Palatino Linotype" w:cs="Arial"/>
          <w:sz w:val="24"/>
          <w:szCs w:val="24"/>
        </w:rPr>
      </w:pPr>
      <w:r w:rsidRPr="004C447B">
        <w:rPr>
          <w:rFonts w:ascii="Palatino Linotype" w:hAnsi="Palatino Linotype" w:cs="Arial"/>
          <w:b/>
          <w:sz w:val="24"/>
          <w:szCs w:val="24"/>
        </w:rPr>
        <w:tab/>
      </w:r>
      <w:r w:rsidRPr="004C447B" w:rsidR="00B12152">
        <w:rPr>
          <w:rFonts w:ascii="Palatino Linotype" w:hAnsi="Palatino Linotype" w:cs="Arial"/>
          <w:b/>
          <w:sz w:val="24"/>
          <w:szCs w:val="24"/>
        </w:rPr>
        <w:t xml:space="preserve">FAÇO SABER </w:t>
      </w:r>
      <w:r w:rsidRPr="004C447B" w:rsidR="00B12152">
        <w:rPr>
          <w:rFonts w:ascii="Palatino Linotype" w:hAnsi="Palatino Linotype" w:cs="Arial"/>
          <w:sz w:val="24"/>
          <w:szCs w:val="24"/>
        </w:rPr>
        <w:t>que a Câmara Municipal aprovou e eu promulgo a seguinte Resolução:</w:t>
      </w:r>
    </w:p>
    <w:p w:rsidR="00EA2389" w:rsidRPr="004C447B" w:rsidP="005569A3">
      <w:pPr>
        <w:jc w:val="both"/>
        <w:rPr>
          <w:rFonts w:ascii="Palatino Linotype" w:hAnsi="Palatino Linotype" w:cs="Arial"/>
          <w:sz w:val="24"/>
          <w:szCs w:val="24"/>
        </w:rPr>
      </w:pPr>
    </w:p>
    <w:p w:rsidR="005569A3" w:rsidRPr="004C447B" w:rsidP="005569A3">
      <w:pPr>
        <w:jc w:val="both"/>
        <w:rPr>
          <w:rFonts w:ascii="Palatino Linotype" w:hAnsi="Palatino Linotype" w:cs="Arial"/>
          <w:sz w:val="24"/>
          <w:szCs w:val="24"/>
        </w:rPr>
      </w:pPr>
    </w:p>
    <w:p w:rsidR="00B32BDC" w:rsidRPr="004C447B" w:rsidP="005569A3">
      <w:pPr>
        <w:jc w:val="both"/>
        <w:rPr>
          <w:rFonts w:ascii="Palatino Linotype" w:hAnsi="Palatino Linotype" w:cs="Arial"/>
          <w:sz w:val="24"/>
          <w:szCs w:val="24"/>
        </w:rPr>
      </w:pPr>
      <w:r w:rsidRPr="004C447B">
        <w:rPr>
          <w:rFonts w:ascii="Palatino Linotype" w:hAnsi="Palatino Linotype" w:cs="Arial"/>
          <w:sz w:val="24"/>
          <w:szCs w:val="24"/>
        </w:rPr>
        <w:tab/>
      </w:r>
      <w:r w:rsidRPr="004C447B" w:rsidR="005569A3">
        <w:rPr>
          <w:rFonts w:ascii="Palatino Linotype" w:hAnsi="Palatino Linotype" w:cs="Arial"/>
          <w:sz w:val="24"/>
          <w:szCs w:val="24"/>
        </w:rPr>
        <w:t xml:space="preserve">Art. 1º - Fica </w:t>
      </w:r>
      <w:r w:rsidRPr="004C447B">
        <w:rPr>
          <w:rFonts w:ascii="Palatino Linotype" w:hAnsi="Palatino Linotype" w:cs="Arial"/>
          <w:sz w:val="24"/>
          <w:szCs w:val="24"/>
        </w:rPr>
        <w:t>REVOGADO o artigo 2º da Resolução nº 239, de 26 de fevereiro de 2002, permanecendo inalteradas as demais disposições.</w:t>
      </w:r>
    </w:p>
    <w:p w:rsidR="00EB7C20" w:rsidRPr="004C447B" w:rsidP="005569A3">
      <w:pPr>
        <w:jc w:val="both"/>
        <w:rPr>
          <w:rFonts w:ascii="Palatino Linotype" w:hAnsi="Palatino Linotype" w:cs="Arial"/>
          <w:sz w:val="24"/>
          <w:szCs w:val="24"/>
        </w:rPr>
      </w:pPr>
    </w:p>
    <w:p w:rsidR="00EB7C20" w:rsidRPr="004C447B" w:rsidP="005569A3">
      <w:pPr>
        <w:jc w:val="both"/>
        <w:rPr>
          <w:rFonts w:ascii="Palatino Linotype" w:hAnsi="Palatino Linotype" w:cs="Arial"/>
          <w:sz w:val="24"/>
          <w:szCs w:val="24"/>
        </w:rPr>
      </w:pPr>
      <w:r w:rsidRPr="004C447B">
        <w:rPr>
          <w:rFonts w:ascii="Palatino Linotype" w:hAnsi="Palatino Linotype" w:cs="Arial"/>
          <w:sz w:val="24"/>
          <w:szCs w:val="24"/>
        </w:rPr>
        <w:tab/>
        <w:t>Art. 2</w:t>
      </w:r>
      <w:r w:rsidRPr="004C447B">
        <w:rPr>
          <w:rFonts w:ascii="Palatino Linotype" w:hAnsi="Palatino Linotype" w:cs="Arial"/>
          <w:sz w:val="24"/>
          <w:szCs w:val="24"/>
        </w:rPr>
        <w:t xml:space="preserve">º </w:t>
      </w:r>
      <w:r w:rsidRPr="004C447B">
        <w:rPr>
          <w:rFonts w:ascii="Palatino Linotype" w:hAnsi="Palatino Linotype" w:cs="Arial"/>
          <w:sz w:val="24"/>
          <w:szCs w:val="24"/>
        </w:rPr>
        <w:t xml:space="preserve">- </w:t>
      </w:r>
      <w:r w:rsidRPr="004C447B">
        <w:rPr>
          <w:rFonts w:ascii="Palatino Linotype" w:hAnsi="Palatino Linotype" w:cs="Arial"/>
          <w:sz w:val="24"/>
          <w:szCs w:val="24"/>
        </w:rPr>
        <w:t>Esta Resolução entra em vigor na data de sua publicação, revogando-se as disposições em contrário.</w:t>
      </w:r>
    </w:p>
    <w:p w:rsidR="007A78D1" w:rsidRPr="004C447B" w:rsidP="005569A3">
      <w:pPr>
        <w:jc w:val="both"/>
        <w:rPr>
          <w:rFonts w:ascii="Palatino Linotype" w:hAnsi="Palatino Linotype" w:cs="Arial"/>
          <w:sz w:val="24"/>
          <w:szCs w:val="24"/>
        </w:rPr>
      </w:pPr>
    </w:p>
    <w:p w:rsidR="004C447B" w:rsidRPr="004C447B" w:rsidP="004C447B">
      <w:pPr>
        <w:jc w:val="center"/>
        <w:rPr>
          <w:rFonts w:ascii="Palatino Linotype" w:hAnsi="Palatino Linotype" w:cs="Arial"/>
          <w:sz w:val="24"/>
          <w:szCs w:val="24"/>
        </w:rPr>
      </w:pPr>
      <w:r w:rsidRPr="004C447B">
        <w:rPr>
          <w:rFonts w:ascii="Palatino Linotype" w:hAnsi="Palatino Linotype" w:cs="Arial"/>
          <w:sz w:val="24"/>
          <w:szCs w:val="24"/>
        </w:rPr>
        <w:t xml:space="preserve">Câmara Municipal de Mogi Mirim, </w:t>
      </w:r>
      <w:r w:rsidR="00A43E35">
        <w:rPr>
          <w:rFonts w:ascii="Palatino Linotype" w:hAnsi="Palatino Linotype" w:cs="Arial"/>
          <w:sz w:val="24"/>
          <w:szCs w:val="24"/>
        </w:rPr>
        <w:t>09</w:t>
      </w:r>
      <w:r w:rsidRPr="004C447B">
        <w:rPr>
          <w:rFonts w:ascii="Palatino Linotype" w:hAnsi="Palatino Linotype" w:cs="Arial"/>
          <w:sz w:val="24"/>
          <w:szCs w:val="24"/>
        </w:rPr>
        <w:t xml:space="preserve"> de </w:t>
      </w:r>
      <w:r w:rsidR="00A43E35">
        <w:rPr>
          <w:rFonts w:ascii="Palatino Linotype" w:hAnsi="Palatino Linotype" w:cs="Arial"/>
          <w:sz w:val="24"/>
          <w:szCs w:val="24"/>
        </w:rPr>
        <w:t>outubro</w:t>
      </w:r>
      <w:r w:rsidRPr="004C447B">
        <w:rPr>
          <w:rFonts w:ascii="Palatino Linotype" w:hAnsi="Palatino Linotype" w:cs="Arial"/>
          <w:sz w:val="24"/>
          <w:szCs w:val="24"/>
        </w:rPr>
        <w:t xml:space="preserve"> </w:t>
      </w:r>
      <w:r w:rsidRPr="004C447B" w:rsidR="00A43E35">
        <w:rPr>
          <w:rFonts w:ascii="Palatino Linotype" w:hAnsi="Palatino Linotype" w:cs="Arial"/>
          <w:sz w:val="24"/>
          <w:szCs w:val="24"/>
        </w:rPr>
        <w:t>de 2026</w:t>
      </w:r>
      <w:r w:rsidRPr="004C447B">
        <w:rPr>
          <w:rFonts w:ascii="Palatino Linotype" w:hAnsi="Palatino Linotype" w:cs="Arial"/>
          <w:sz w:val="24"/>
          <w:szCs w:val="24"/>
        </w:rPr>
        <w:t>.</w:t>
      </w:r>
    </w:p>
    <w:p w:rsidR="00DF7FDB" w:rsidRPr="004C447B" w:rsidP="004C447B">
      <w:pPr>
        <w:jc w:val="center"/>
        <w:rPr>
          <w:rFonts w:ascii="Palatino Linotype" w:hAnsi="Palatino Linotype" w:cs="Arial"/>
          <w:sz w:val="24"/>
          <w:szCs w:val="24"/>
        </w:rPr>
      </w:pPr>
    </w:p>
    <w:p w:rsidR="00B12152" w:rsidRPr="004C447B" w:rsidP="004C447B">
      <w:pPr>
        <w:jc w:val="center"/>
        <w:rPr>
          <w:rFonts w:ascii="Palatino Linotype" w:hAnsi="Palatino Linotype" w:cs="Arial"/>
          <w:sz w:val="24"/>
          <w:szCs w:val="24"/>
        </w:rPr>
      </w:pPr>
    </w:p>
    <w:p w:rsidR="005569A3" w:rsidRPr="004C447B" w:rsidP="00DB735F">
      <w:pPr>
        <w:jc w:val="center"/>
        <w:rPr>
          <w:rFonts w:ascii="Palatino Linotype" w:hAnsi="Palatino Linotype" w:cs="Arial"/>
          <w:sz w:val="24"/>
          <w:szCs w:val="24"/>
        </w:rPr>
      </w:pPr>
      <w:r w:rsidRPr="004C447B">
        <w:rPr>
          <w:rFonts w:ascii="Palatino Linotype" w:hAnsi="Palatino Linotype" w:cs="Arial"/>
          <w:sz w:val="24"/>
          <w:szCs w:val="24"/>
        </w:rPr>
        <w:t>Vereador Cristiano Gaioto</w:t>
      </w:r>
      <w:r w:rsidRPr="004C447B" w:rsidR="00DB735F">
        <w:rPr>
          <w:rFonts w:ascii="Palatino Linotype" w:hAnsi="Palatino Linotype" w:cs="Arial"/>
          <w:sz w:val="24"/>
          <w:szCs w:val="24"/>
        </w:rPr>
        <w:t xml:space="preserve"> </w:t>
      </w:r>
    </w:p>
    <w:p w:rsidR="005569A3" w:rsidRPr="004C447B" w:rsidP="00DB735F">
      <w:pPr>
        <w:jc w:val="center"/>
        <w:rPr>
          <w:rFonts w:ascii="Palatino Linotype" w:hAnsi="Palatino Linotype" w:cs="Arial"/>
          <w:sz w:val="24"/>
          <w:szCs w:val="24"/>
        </w:rPr>
      </w:pPr>
      <w:r w:rsidRPr="004C447B">
        <w:rPr>
          <w:rFonts w:ascii="Palatino Linotype" w:hAnsi="Palatino Linotype" w:cs="Arial"/>
          <w:sz w:val="24"/>
          <w:szCs w:val="24"/>
        </w:rPr>
        <w:t>Presidente da Câmara Municipal de Mogi Mirim</w:t>
      </w:r>
    </w:p>
    <w:p w:rsidR="007A78D1" w:rsidRPr="004C447B" w:rsidP="00DB735F">
      <w:pPr>
        <w:jc w:val="center"/>
        <w:rPr>
          <w:rFonts w:ascii="Palatino Linotype" w:hAnsi="Palatino Linotype" w:cs="Arial"/>
          <w:sz w:val="24"/>
          <w:szCs w:val="24"/>
        </w:rPr>
      </w:pPr>
    </w:p>
    <w:p w:rsidR="007A78D1" w:rsidRPr="004C447B" w:rsidP="00DB735F">
      <w:pPr>
        <w:jc w:val="center"/>
        <w:rPr>
          <w:rFonts w:ascii="Palatino Linotype" w:hAnsi="Palatino Linotype" w:cs="Arial"/>
          <w:sz w:val="24"/>
          <w:szCs w:val="24"/>
        </w:rPr>
      </w:pPr>
    </w:p>
    <w:p w:rsidR="007A78D1" w:rsidRPr="004C447B" w:rsidP="00DB735F">
      <w:pPr>
        <w:jc w:val="center"/>
        <w:rPr>
          <w:rFonts w:ascii="Palatino Linotype" w:hAnsi="Palatino Linotype" w:cs="Arial"/>
          <w:sz w:val="24"/>
          <w:szCs w:val="24"/>
        </w:rPr>
      </w:pPr>
    </w:p>
    <w:p w:rsidR="007A78D1" w:rsidRPr="004C447B" w:rsidP="00DB735F">
      <w:pPr>
        <w:jc w:val="center"/>
        <w:rPr>
          <w:rFonts w:ascii="Palatino Linotype" w:hAnsi="Palatino Linotype" w:cs="Arial"/>
          <w:sz w:val="24"/>
          <w:szCs w:val="24"/>
        </w:rPr>
      </w:pPr>
    </w:p>
    <w:p w:rsidR="005569A3" w:rsidRPr="004C447B" w:rsidP="005569A3">
      <w:pPr>
        <w:jc w:val="both"/>
        <w:rPr>
          <w:rFonts w:ascii="Palatino Linotype" w:hAnsi="Palatino Linotype" w:cs="Arial"/>
          <w:sz w:val="24"/>
          <w:szCs w:val="24"/>
        </w:rPr>
      </w:pPr>
    </w:p>
    <w:p w:rsidR="005569A3" w:rsidP="00EB7C20">
      <w:pPr>
        <w:rPr>
          <w:rFonts w:ascii="Palatino Linotype" w:hAnsi="Palatino Linotype" w:cs="Arial"/>
          <w:color w:val="000000"/>
          <w:sz w:val="24"/>
          <w:szCs w:val="24"/>
        </w:rPr>
      </w:pPr>
      <w:r w:rsidRPr="004C447B">
        <w:rPr>
          <w:rFonts w:ascii="Palatino Linotype" w:hAnsi="Palatino Linotype" w:cs="Arial"/>
          <w:color w:val="000000"/>
          <w:sz w:val="24"/>
          <w:szCs w:val="24"/>
        </w:rPr>
        <w:t>Regist</w:t>
      </w:r>
      <w:r w:rsidRPr="004C447B" w:rsidR="00B32BDC">
        <w:rPr>
          <w:rFonts w:ascii="Palatino Linotype" w:hAnsi="Palatino Linotype" w:cs="Arial"/>
          <w:color w:val="000000"/>
          <w:sz w:val="24"/>
          <w:szCs w:val="24"/>
        </w:rPr>
        <w:t xml:space="preserve">re-se e </w:t>
      </w:r>
      <w:r w:rsidRPr="004C447B">
        <w:rPr>
          <w:rFonts w:ascii="Palatino Linotype" w:hAnsi="Palatino Linotype" w:cs="Arial"/>
          <w:color w:val="000000"/>
          <w:sz w:val="24"/>
          <w:szCs w:val="24"/>
        </w:rPr>
        <w:t xml:space="preserve">Publique-se, inclusive </w:t>
      </w:r>
      <w:r w:rsidR="008A616C">
        <w:rPr>
          <w:rFonts w:ascii="Palatino Linotype" w:hAnsi="Palatino Linotype" w:cs="Arial"/>
          <w:color w:val="000000"/>
          <w:sz w:val="24"/>
          <w:szCs w:val="24"/>
        </w:rPr>
        <w:t>por</w:t>
      </w:r>
      <w:r w:rsidRPr="004C447B">
        <w:rPr>
          <w:rFonts w:ascii="Palatino Linotype" w:hAnsi="Palatino Linotype" w:cs="Arial"/>
          <w:color w:val="000000"/>
          <w:sz w:val="24"/>
          <w:szCs w:val="24"/>
        </w:rPr>
        <w:t xml:space="preserve"> afixação</w:t>
      </w:r>
      <w:r w:rsidRPr="004C447B" w:rsidR="00EB7C20">
        <w:rPr>
          <w:rFonts w:ascii="Palatino Linotype" w:hAnsi="Palatino Linotype" w:cs="Arial"/>
          <w:color w:val="000000"/>
          <w:sz w:val="24"/>
          <w:szCs w:val="24"/>
        </w:rPr>
        <w:t xml:space="preserve"> no Quadro de Avisos </w:t>
      </w:r>
      <w:r w:rsidRPr="004C447B" w:rsidR="00A43E35">
        <w:rPr>
          <w:rFonts w:ascii="Palatino Linotype" w:hAnsi="Palatino Linotype" w:cs="Arial"/>
          <w:color w:val="000000"/>
          <w:sz w:val="24"/>
          <w:szCs w:val="24"/>
        </w:rPr>
        <w:t>do átrio</w:t>
      </w:r>
      <w:r w:rsidR="008A616C">
        <w:rPr>
          <w:rFonts w:ascii="Palatino Linotype" w:hAnsi="Palatino Linotype" w:cs="Arial"/>
          <w:color w:val="000000"/>
          <w:sz w:val="24"/>
          <w:szCs w:val="24"/>
        </w:rPr>
        <w:t xml:space="preserve"> desta</w:t>
      </w:r>
      <w:r w:rsidRPr="004C447B" w:rsidR="00EB7C20">
        <w:rPr>
          <w:rFonts w:ascii="Palatino Linotype" w:hAnsi="Palatino Linotype" w:cs="Arial"/>
          <w:color w:val="000000"/>
          <w:sz w:val="24"/>
          <w:szCs w:val="24"/>
        </w:rPr>
        <w:t xml:space="preserve"> Câmara Municipal.</w:t>
      </w:r>
    </w:p>
    <w:p w:rsidR="004C447B" w:rsidP="00EB7C20">
      <w:pPr>
        <w:rPr>
          <w:rFonts w:ascii="Palatino Linotype" w:hAnsi="Palatino Linotype" w:cs="Arial"/>
          <w:color w:val="000000"/>
          <w:sz w:val="24"/>
          <w:szCs w:val="24"/>
        </w:rPr>
      </w:pPr>
    </w:p>
    <w:p w:rsidR="004C447B" w:rsidP="00EB7C20">
      <w:pPr>
        <w:rPr>
          <w:rFonts w:ascii="Palatino Linotype" w:hAnsi="Palatino Linotype" w:cs="Arial"/>
          <w:color w:val="000000"/>
          <w:sz w:val="24"/>
          <w:szCs w:val="24"/>
        </w:rPr>
      </w:pPr>
    </w:p>
    <w:p w:rsidR="004C447B" w:rsidP="004C447B">
      <w:pPr>
        <w:jc w:val="center"/>
        <w:rPr>
          <w:b/>
          <w:sz w:val="24"/>
        </w:rPr>
      </w:pPr>
    </w:p>
    <w:p w:rsidR="004C447B" w:rsidP="004C447B">
      <w:pPr>
        <w:jc w:val="center"/>
        <w:rPr>
          <w:b/>
          <w:sz w:val="24"/>
        </w:rPr>
      </w:pPr>
    </w:p>
    <w:p w:rsidR="004C447B" w:rsidP="004C447B">
      <w:pPr>
        <w:jc w:val="center"/>
        <w:rPr>
          <w:b/>
          <w:sz w:val="24"/>
        </w:rPr>
      </w:pPr>
    </w:p>
    <w:p w:rsidR="00E135E9" w:rsidP="004C447B">
      <w:pPr>
        <w:jc w:val="center"/>
        <w:rPr>
          <w:b/>
          <w:sz w:val="24"/>
        </w:rPr>
      </w:pPr>
    </w:p>
    <w:p w:rsidR="00E135E9" w:rsidP="004C447B">
      <w:pPr>
        <w:jc w:val="center"/>
        <w:rPr>
          <w:b/>
          <w:sz w:val="24"/>
        </w:rPr>
      </w:pPr>
    </w:p>
    <w:p w:rsidR="00E135E9" w:rsidP="004C447B">
      <w:pPr>
        <w:jc w:val="center"/>
        <w:rPr>
          <w:b/>
          <w:sz w:val="24"/>
        </w:rPr>
      </w:pPr>
    </w:p>
    <w:p w:rsidR="00E135E9" w:rsidP="004C447B">
      <w:pPr>
        <w:jc w:val="center"/>
        <w:rPr>
          <w:b/>
          <w:sz w:val="24"/>
        </w:rPr>
      </w:pPr>
    </w:p>
    <w:p w:rsidR="00E135E9" w:rsidP="004C447B">
      <w:pPr>
        <w:jc w:val="center"/>
        <w:rPr>
          <w:b/>
          <w:sz w:val="24"/>
        </w:rPr>
      </w:pPr>
    </w:p>
    <w:p w:rsidR="004C447B" w:rsidRPr="008A616C" w:rsidP="004C447B">
      <w:pPr>
        <w:jc w:val="center"/>
        <w:rPr>
          <w:rFonts w:ascii="Palatino Linotype" w:hAnsi="Palatino Linotype"/>
          <w:b/>
          <w:sz w:val="24"/>
        </w:rPr>
      </w:pPr>
    </w:p>
    <w:p w:rsidR="004C447B" w:rsidRPr="004C447B" w:rsidP="004C447B">
      <w:pPr>
        <w:jc w:val="center"/>
        <w:rPr>
          <w:rFonts w:ascii="Palatino Linotype" w:hAnsi="Palatino Linotype"/>
          <w:sz w:val="24"/>
        </w:rPr>
      </w:pPr>
      <w:r w:rsidRPr="004C447B">
        <w:rPr>
          <w:rFonts w:ascii="Palatino Linotype" w:hAnsi="Palatino Linotype"/>
          <w:b/>
          <w:sz w:val="24"/>
        </w:rPr>
        <w:t>JUSTIFICAÇÃO</w:t>
      </w:r>
    </w:p>
    <w:p w:rsidR="004C447B" w:rsidRPr="004C447B" w:rsidP="004C447B">
      <w:pPr>
        <w:spacing w:before="100" w:after="100" w:line="240" w:lineRule="atLeast"/>
        <w:rPr>
          <w:rFonts w:ascii="Palatino Linotype" w:hAnsi="Palatino Linotype"/>
          <w:sz w:val="24"/>
        </w:rPr>
      </w:pPr>
    </w:p>
    <w:p w:rsidR="004C447B" w:rsidRPr="004C447B" w:rsidP="004C447B">
      <w:pPr>
        <w:spacing w:before="100" w:after="100" w:line="240" w:lineRule="atLeast"/>
        <w:rPr>
          <w:rFonts w:ascii="Palatino Linotype" w:hAnsi="Palatino Linotype"/>
          <w:sz w:val="24"/>
        </w:rPr>
      </w:pPr>
    </w:p>
    <w:p w:rsidR="004C447B" w:rsidRPr="008A616C" w:rsidP="004C447B">
      <w:pPr>
        <w:spacing w:after="160" w:line="360" w:lineRule="auto"/>
        <w:ind w:firstLine="708"/>
        <w:jc w:val="both"/>
        <w:rPr>
          <w:rFonts w:ascii="Palatino Linotype" w:hAnsi="Palatino Linotype" w:eastAsiaTheme="minorHAnsi"/>
          <w:sz w:val="24"/>
          <w:szCs w:val="24"/>
          <w:lang w:eastAsia="en-US"/>
        </w:rPr>
      </w:pPr>
      <w:r w:rsidRPr="004C447B">
        <w:rPr>
          <w:rFonts w:ascii="Palatino Linotype" w:hAnsi="Palatino Linotype" w:eastAsiaTheme="minorHAnsi"/>
          <w:sz w:val="24"/>
          <w:szCs w:val="24"/>
          <w:lang w:eastAsia="en-US"/>
        </w:rPr>
        <w:t xml:space="preserve">O presente projeto de resolução </w:t>
      </w:r>
      <w:r w:rsidRPr="008A616C">
        <w:rPr>
          <w:rFonts w:ascii="Palatino Linotype" w:hAnsi="Palatino Linotype" w:eastAsiaTheme="minorHAnsi"/>
          <w:sz w:val="24"/>
          <w:szCs w:val="24"/>
          <w:lang w:eastAsia="en-US"/>
        </w:rPr>
        <w:t>visa a revogação do artigo 2ª da Resolução nº 239, de 26 de fevereiro de 2002, que indevida e inconstitucionalmente restabelecia “</w:t>
      </w:r>
      <w:r w:rsidRPr="008A616C">
        <w:rPr>
          <w:rFonts w:ascii="Palatino Linotype" w:hAnsi="Palatino Linotype" w:eastAsiaTheme="minorHAnsi"/>
          <w:i/>
          <w:sz w:val="24"/>
          <w:szCs w:val="24"/>
          <w:lang w:eastAsia="en-US"/>
        </w:rPr>
        <w:t>o pagamento de biênios e quinquênios aos ocupantes de cargo em</w:t>
      </w:r>
      <w:r w:rsidRPr="008A616C" w:rsidR="008A616C">
        <w:rPr>
          <w:rFonts w:ascii="Palatino Linotype" w:hAnsi="Palatino Linotype" w:eastAsiaTheme="minorHAnsi"/>
          <w:i/>
          <w:sz w:val="24"/>
          <w:szCs w:val="24"/>
          <w:lang w:eastAsia="en-US"/>
        </w:rPr>
        <w:t xml:space="preserve"> comissão previsto na Lei ordiná</w:t>
      </w:r>
      <w:r w:rsidRPr="008A616C">
        <w:rPr>
          <w:rFonts w:ascii="Palatino Linotype" w:hAnsi="Palatino Linotype" w:eastAsiaTheme="minorHAnsi"/>
          <w:i/>
          <w:sz w:val="24"/>
          <w:szCs w:val="24"/>
          <w:lang w:eastAsia="en-US"/>
        </w:rPr>
        <w:t>ria nº 1984/1990”</w:t>
      </w:r>
      <w:r w:rsidRPr="008A616C" w:rsidR="008A616C">
        <w:rPr>
          <w:rFonts w:ascii="Palatino Linotype" w:hAnsi="Palatino Linotype" w:eastAsiaTheme="minorHAnsi"/>
          <w:sz w:val="24"/>
          <w:szCs w:val="24"/>
          <w:lang w:eastAsia="en-US"/>
        </w:rPr>
        <w:t>,</w:t>
      </w:r>
      <w:r w:rsidRPr="008A616C">
        <w:rPr>
          <w:rFonts w:ascii="Palatino Linotype" w:hAnsi="Palatino Linotype" w:eastAsiaTheme="minorHAnsi"/>
          <w:sz w:val="24"/>
          <w:szCs w:val="24"/>
          <w:lang w:eastAsia="en-US"/>
        </w:rPr>
        <w:t xml:space="preserve"> o qual já havia sido suprido pelo Lei Municipal nº 3.043/1998.</w:t>
      </w:r>
    </w:p>
    <w:p w:rsidR="008A616C" w:rsidRPr="008A616C" w:rsidP="004C447B">
      <w:pPr>
        <w:spacing w:after="160" w:line="360" w:lineRule="auto"/>
        <w:ind w:firstLine="708"/>
        <w:jc w:val="both"/>
        <w:rPr>
          <w:rFonts w:ascii="Palatino Linotype" w:hAnsi="Palatino Linotype" w:eastAsiaTheme="minorHAnsi"/>
          <w:sz w:val="24"/>
          <w:szCs w:val="24"/>
          <w:lang w:eastAsia="en-US"/>
        </w:rPr>
      </w:pPr>
      <w:r w:rsidRPr="008A616C">
        <w:rPr>
          <w:rFonts w:ascii="Palatino Linotype" w:hAnsi="Palatino Linotype" w:eastAsiaTheme="minorHAnsi"/>
          <w:sz w:val="24"/>
          <w:szCs w:val="24"/>
          <w:lang w:eastAsia="en-US"/>
        </w:rPr>
        <w:t>A edição da Resolução de revogação do precitado artigo</w:t>
      </w:r>
      <w:r w:rsidRPr="008A616C">
        <w:rPr>
          <w:rFonts w:ascii="Palatino Linotype" w:hAnsi="Palatino Linotype" w:eastAsiaTheme="minorHAnsi"/>
          <w:sz w:val="24"/>
          <w:szCs w:val="24"/>
          <w:lang w:eastAsia="en-US"/>
        </w:rPr>
        <w:t xml:space="preserve"> 2º da Resolução nº 239/2002, </w:t>
      </w:r>
      <w:r w:rsidRPr="008A616C">
        <w:rPr>
          <w:rFonts w:ascii="Palatino Linotype" w:hAnsi="Palatino Linotype" w:eastAsiaTheme="minorHAnsi"/>
          <w:sz w:val="24"/>
          <w:szCs w:val="24"/>
          <w:lang w:eastAsia="en-US"/>
        </w:rPr>
        <w:t>ocorre para cumprimento de determinação exarada quando do Julgamento do Recurso Ordinário nº TC-016338.989.26-2 (referente ao TC-005090.989.24-5)</w:t>
      </w:r>
      <w:r w:rsidRPr="008A616C">
        <w:rPr>
          <w:rFonts w:ascii="Palatino Linotype" w:hAnsi="Palatino Linotype" w:eastAsiaTheme="minorHAnsi"/>
          <w:sz w:val="24"/>
          <w:szCs w:val="24"/>
          <w:lang w:eastAsia="en-US"/>
        </w:rPr>
        <w:t xml:space="preserve"> pelo E. Plenário do Tribunal de Contas do Estado de São Paulo. </w:t>
      </w:r>
    </w:p>
    <w:p w:rsidR="004C447B" w:rsidRPr="004C447B" w:rsidP="004C447B">
      <w:pPr>
        <w:spacing w:after="160" w:line="360" w:lineRule="auto"/>
        <w:ind w:firstLine="708"/>
        <w:jc w:val="both"/>
        <w:rPr>
          <w:rFonts w:ascii="Palatino Linotype" w:hAnsi="Palatino Linotype" w:eastAsiaTheme="minorHAnsi"/>
          <w:sz w:val="24"/>
          <w:szCs w:val="24"/>
          <w:lang w:eastAsia="en-US"/>
        </w:rPr>
      </w:pPr>
      <w:r w:rsidRPr="004C447B">
        <w:rPr>
          <w:rFonts w:ascii="Palatino Linotype" w:hAnsi="Palatino Linotype" w:eastAsiaTheme="minorHAnsi"/>
          <w:sz w:val="24"/>
          <w:szCs w:val="24"/>
          <w:lang w:eastAsia="en-US"/>
        </w:rPr>
        <w:t xml:space="preserve">Assim sendo, </w:t>
      </w:r>
      <w:r w:rsidRPr="008A616C" w:rsidR="008A616C">
        <w:rPr>
          <w:rFonts w:ascii="Palatino Linotype" w:hAnsi="Palatino Linotype" w:eastAsiaTheme="minorHAnsi"/>
          <w:sz w:val="24"/>
          <w:szCs w:val="24"/>
          <w:lang w:eastAsia="en-US"/>
        </w:rPr>
        <w:t xml:space="preserve">objetivando o cumprimento </w:t>
      </w:r>
      <w:r w:rsidRPr="008A616C" w:rsidR="00A43E35">
        <w:rPr>
          <w:rFonts w:ascii="Palatino Linotype" w:hAnsi="Palatino Linotype" w:eastAsiaTheme="minorHAnsi"/>
          <w:sz w:val="24"/>
          <w:szCs w:val="24"/>
          <w:lang w:eastAsia="en-US"/>
        </w:rPr>
        <w:t>da determinação</w:t>
      </w:r>
      <w:r w:rsidRPr="008A616C" w:rsidR="008A616C">
        <w:rPr>
          <w:rFonts w:ascii="Palatino Linotype" w:hAnsi="Palatino Linotype" w:eastAsiaTheme="minorHAnsi"/>
          <w:sz w:val="24"/>
          <w:szCs w:val="24"/>
          <w:lang w:eastAsia="en-US"/>
        </w:rPr>
        <w:t xml:space="preserve"> daquela Corte de </w:t>
      </w:r>
      <w:r w:rsidRPr="008A616C" w:rsidR="00A43E35">
        <w:rPr>
          <w:rFonts w:ascii="Palatino Linotype" w:hAnsi="Palatino Linotype" w:eastAsiaTheme="minorHAnsi"/>
          <w:sz w:val="24"/>
          <w:szCs w:val="24"/>
          <w:lang w:eastAsia="en-US"/>
        </w:rPr>
        <w:t>Contas e</w:t>
      </w:r>
      <w:r w:rsidRPr="008A616C" w:rsidR="008A616C">
        <w:rPr>
          <w:rFonts w:ascii="Palatino Linotype" w:hAnsi="Palatino Linotype" w:eastAsiaTheme="minorHAnsi"/>
          <w:sz w:val="24"/>
          <w:szCs w:val="24"/>
          <w:lang w:eastAsia="en-US"/>
        </w:rPr>
        <w:t xml:space="preserve"> </w:t>
      </w:r>
      <w:r w:rsidRPr="004C447B">
        <w:rPr>
          <w:rFonts w:ascii="Palatino Linotype" w:hAnsi="Palatino Linotype" w:eastAsiaTheme="minorHAnsi"/>
          <w:sz w:val="24"/>
          <w:szCs w:val="24"/>
          <w:lang w:eastAsia="en-US"/>
        </w:rPr>
        <w:t xml:space="preserve">ante a relevância e regularidade do presente Projeto de </w:t>
      </w:r>
      <w:r w:rsidRPr="004C447B" w:rsidR="00A43E35">
        <w:rPr>
          <w:rFonts w:ascii="Palatino Linotype" w:hAnsi="Palatino Linotype" w:eastAsiaTheme="minorHAnsi"/>
          <w:sz w:val="24"/>
          <w:szCs w:val="24"/>
          <w:lang w:eastAsia="en-US"/>
        </w:rPr>
        <w:t>Resolução, rogamos pela sensibilidade</w:t>
      </w:r>
      <w:r w:rsidRPr="004C447B">
        <w:rPr>
          <w:rFonts w:ascii="Palatino Linotype" w:hAnsi="Palatino Linotype" w:eastAsiaTheme="minorHAnsi"/>
          <w:sz w:val="24"/>
          <w:szCs w:val="24"/>
          <w:lang w:eastAsia="en-US"/>
        </w:rPr>
        <w:t xml:space="preserve"> dos nobres vereadores para sua aprovação.</w:t>
      </w:r>
    </w:p>
    <w:p w:rsidR="004C447B" w:rsidRPr="004C447B" w:rsidP="004C447B">
      <w:pPr>
        <w:spacing w:before="100" w:after="100" w:line="240" w:lineRule="atLeast"/>
        <w:rPr>
          <w:rFonts w:ascii="Palatino Linotype" w:hAnsi="Palatino Linotype"/>
          <w:sz w:val="24"/>
        </w:rPr>
      </w:pPr>
    </w:p>
    <w:p w:rsidR="004C447B" w:rsidRPr="008A616C" w:rsidP="00EB7C20">
      <w:pPr>
        <w:rPr>
          <w:rFonts w:ascii="Palatino Linotype" w:hAnsi="Palatino Linotype" w:cs="Arial"/>
          <w:color w:val="000000"/>
          <w:sz w:val="24"/>
          <w:szCs w:val="24"/>
        </w:rPr>
      </w:pPr>
    </w:p>
    <w:sectPr>
      <w:headerReference w:type="even" r:id="rId4"/>
      <w:headerReference w:type="default" r:id="rId5"/>
      <w:footerReference w:type="default" r:id="rId6"/>
      <w:pgSz w:w="11907" w:h="16840" w:code="9"/>
      <w:pgMar w:top="2268" w:right="1321" w:bottom="1134" w:left="1418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A500E">
    <w:pPr>
      <w:pStyle w:val="Footer"/>
      <w:jc w:val="center"/>
      <w:rPr>
        <w:sz w:val="18"/>
      </w:rPr>
    </w:pPr>
    <w:r>
      <w:rPr>
        <w:sz w:val="18"/>
      </w:rPr>
      <w:t xml:space="preserve">Rua Dr. José Alves, 129 - Centro - </w:t>
    </w:r>
    <w:r>
      <w:rPr>
        <w:sz w:val="18"/>
      </w:rPr>
      <w:t>Fone :</w:t>
    </w:r>
    <w:r>
      <w:rPr>
        <w:sz w:val="18"/>
      </w:rPr>
      <w:t xml:space="preserve"> (019) </w:t>
    </w:r>
    <w:r w:rsidR="00B12152">
      <w:rPr>
        <w:sz w:val="18"/>
      </w:rPr>
      <w:t xml:space="preserve">3814.1200 </w:t>
    </w:r>
    <w:r>
      <w:rPr>
        <w:sz w:val="18"/>
      </w:rPr>
      <w:t xml:space="preserve"> – Mogi Mirim - SP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A500E">
    <w:pPr>
      <w:pStyle w:val="Head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:rsidR="002A500E">
    <w:pPr>
      <w:pStyle w:val="Header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A500E">
    <w:pPr>
      <w:pStyle w:val="Header"/>
      <w:framePr w:wrap="around" w:vAnchor="text" w:hAnchor="margin" w:xAlign="right" w:y="1"/>
      <w:rPr>
        <w:rStyle w:val="PageNumber"/>
      </w:rPr>
    </w:pPr>
  </w:p>
  <w:p w:rsidR="002A500E">
    <w:pPr>
      <w:framePr w:w="2171" w:h="2525" w:hRule="exact" w:hSpace="141" w:wrap="around" w:vAnchor="page" w:hAnchor="page" w:x="981" w:y="725"/>
      <w:ind w:right="360"/>
    </w:pPr>
    <w:r>
      <w:rPr>
        <w:noProof/>
      </w:rPr>
      <w:drawing>
        <wp:inline distT="0" distB="0" distL="0" distR="0">
          <wp:extent cx="1038225" cy="752475"/>
          <wp:effectExtent l="0" t="0" r="9525" b="9525"/>
          <wp:docPr id="1" name="Imagem 1" descr="brasaomm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93539715" name="Picture 1" descr="brasaomm"/>
                  <pic:cNvPicPr>
                    <a:picLocks noChangeAspect="1" noChangeArrowheads="1"/>
                  </pic:cNvPicPr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1038225" cy="7524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2A500E">
    <w:pPr>
      <w:pStyle w:val="Header"/>
      <w:tabs>
        <w:tab w:val="clear" w:pos="4419"/>
        <w:tab w:val="right" w:pos="7513"/>
        <w:tab w:val="clear" w:pos="8838"/>
      </w:tabs>
      <w:jc w:val="center"/>
      <w:rPr>
        <w:rFonts w:ascii="Arial" w:hAnsi="Arial"/>
        <w:b/>
        <w:sz w:val="34"/>
      </w:rPr>
    </w:pPr>
  </w:p>
  <w:p w:rsidR="002A500E">
    <w:pPr>
      <w:pStyle w:val="Header"/>
      <w:tabs>
        <w:tab w:val="clear" w:pos="4419"/>
        <w:tab w:val="right" w:pos="7513"/>
        <w:tab w:val="clear" w:pos="8838"/>
      </w:tabs>
      <w:jc w:val="center"/>
      <w:rPr>
        <w:rFonts w:ascii="Arial" w:hAnsi="Arial"/>
        <w:b/>
        <w:sz w:val="34"/>
      </w:rPr>
    </w:pPr>
    <w:r>
      <w:rPr>
        <w:rFonts w:ascii="Arial" w:hAnsi="Arial"/>
        <w:b/>
        <w:sz w:val="34"/>
      </w:rPr>
      <w:t>CÂMARA MUNICIPAL DE MOGI MIRIM</w:t>
    </w:r>
  </w:p>
  <w:p w:rsidR="002A500E">
    <w:pPr>
      <w:pStyle w:val="Header"/>
      <w:tabs>
        <w:tab w:val="clear" w:pos="4419"/>
        <w:tab w:val="right" w:pos="7513"/>
        <w:tab w:val="clear" w:pos="8838"/>
      </w:tabs>
      <w:jc w:val="center"/>
      <w:rPr>
        <w:rFonts w:ascii="Arial" w:hAnsi="Arial"/>
      </w:rPr>
    </w:pPr>
    <w:r>
      <w:rPr>
        <w:rFonts w:ascii="Arial" w:hAnsi="Arial"/>
        <w:b/>
        <w:sz w:val="24"/>
      </w:rPr>
      <w:t>Estado de São Paulo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3F01" w:allStyles="1" w:alternateStyleNames="0" w:clearFormatting="1" w:customStyles="0" w:directFormattingOnNumbering="1" w:directFormattingOnParagraphs="1" w:directFormattingOnRuns="1" w:directFormattingOnTables="1" w:headingStyles="0" w:latentStyles="0" w:numberingStyles="0" w:stylesInUse="0" w:tableStyles="0" w:top3HeadingStyles="1" w:visibleStyl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B2D85"/>
    <w:rsid w:val="00006D8C"/>
    <w:rsid w:val="0002637E"/>
    <w:rsid w:val="000442A4"/>
    <w:rsid w:val="00044ED6"/>
    <w:rsid w:val="00072FE0"/>
    <w:rsid w:val="000B2D85"/>
    <w:rsid w:val="000E6F41"/>
    <w:rsid w:val="00110D70"/>
    <w:rsid w:val="001632AB"/>
    <w:rsid w:val="002766B2"/>
    <w:rsid w:val="002A500E"/>
    <w:rsid w:val="002B6F8D"/>
    <w:rsid w:val="002F767B"/>
    <w:rsid w:val="0032225D"/>
    <w:rsid w:val="00335475"/>
    <w:rsid w:val="00360135"/>
    <w:rsid w:val="0039674C"/>
    <w:rsid w:val="003B5EF2"/>
    <w:rsid w:val="00455750"/>
    <w:rsid w:val="00466584"/>
    <w:rsid w:val="004B3A43"/>
    <w:rsid w:val="004C447B"/>
    <w:rsid w:val="0055593A"/>
    <w:rsid w:val="005569A3"/>
    <w:rsid w:val="00563EB4"/>
    <w:rsid w:val="00575199"/>
    <w:rsid w:val="00581253"/>
    <w:rsid w:val="00592468"/>
    <w:rsid w:val="005B7133"/>
    <w:rsid w:val="00632D55"/>
    <w:rsid w:val="00641B93"/>
    <w:rsid w:val="00670B18"/>
    <w:rsid w:val="00675C41"/>
    <w:rsid w:val="006A2B8C"/>
    <w:rsid w:val="006A4A1A"/>
    <w:rsid w:val="00731683"/>
    <w:rsid w:val="007541D7"/>
    <w:rsid w:val="007856BD"/>
    <w:rsid w:val="007A78D1"/>
    <w:rsid w:val="007C445A"/>
    <w:rsid w:val="007D7941"/>
    <w:rsid w:val="007E2441"/>
    <w:rsid w:val="00851A7C"/>
    <w:rsid w:val="00864378"/>
    <w:rsid w:val="008764C2"/>
    <w:rsid w:val="00896838"/>
    <w:rsid w:val="008A616C"/>
    <w:rsid w:val="008C092B"/>
    <w:rsid w:val="008F1325"/>
    <w:rsid w:val="00940FFD"/>
    <w:rsid w:val="009C172A"/>
    <w:rsid w:val="009E579D"/>
    <w:rsid w:val="009F45F1"/>
    <w:rsid w:val="009F7EC2"/>
    <w:rsid w:val="00A06233"/>
    <w:rsid w:val="00A23803"/>
    <w:rsid w:val="00A32A96"/>
    <w:rsid w:val="00A43E35"/>
    <w:rsid w:val="00A67DB6"/>
    <w:rsid w:val="00A7161B"/>
    <w:rsid w:val="00A8126C"/>
    <w:rsid w:val="00AB3CF6"/>
    <w:rsid w:val="00AD0B68"/>
    <w:rsid w:val="00B11259"/>
    <w:rsid w:val="00B12152"/>
    <w:rsid w:val="00B17B34"/>
    <w:rsid w:val="00B32BDC"/>
    <w:rsid w:val="00B6470C"/>
    <w:rsid w:val="00C22B65"/>
    <w:rsid w:val="00C478D4"/>
    <w:rsid w:val="00C6191C"/>
    <w:rsid w:val="00C95D5D"/>
    <w:rsid w:val="00D16161"/>
    <w:rsid w:val="00D63BE9"/>
    <w:rsid w:val="00D74058"/>
    <w:rsid w:val="00DB01F4"/>
    <w:rsid w:val="00DB735F"/>
    <w:rsid w:val="00DF7FDB"/>
    <w:rsid w:val="00E11709"/>
    <w:rsid w:val="00E135E9"/>
    <w:rsid w:val="00E377E6"/>
    <w:rsid w:val="00E75E74"/>
    <w:rsid w:val="00E87C2F"/>
    <w:rsid w:val="00E959D7"/>
    <w:rsid w:val="00EA2389"/>
    <w:rsid w:val="00EB7C20"/>
    <w:rsid w:val="00EE2DB9"/>
    <w:rsid w:val="00F110D1"/>
    <w:rsid w:val="00F45A5E"/>
    <w:rsid w:val="00F65789"/>
    <w:rsid w:val="00FA49C5"/>
    <w:rsid w:val="00FC7E31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5:chartTrackingRefBased/>
  <w15:docId w15:val="{A4165804-61C4-47CA-97B6-B44F026E48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qFormat/>
    <w:pPr>
      <w:keepNext/>
      <w:ind w:firstLine="709"/>
      <w:jc w:val="both"/>
      <w:outlineLvl w:val="0"/>
    </w:pPr>
    <w:rPr>
      <w:b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PlainText">
    <w:name w:val="Plain Text"/>
    <w:basedOn w:val="Normal"/>
    <w:rPr>
      <w:rFonts w:ascii="Courier New" w:hAnsi="Courier New"/>
    </w:rPr>
  </w:style>
  <w:style w:type="character" w:styleId="PageNumber">
    <w:name w:val="page number"/>
    <w:basedOn w:val="DefaultParagraphFont"/>
  </w:style>
  <w:style w:type="paragraph" w:styleId="Header">
    <w:name w:val="header"/>
    <w:basedOn w:val="Normal"/>
    <w:pPr>
      <w:tabs>
        <w:tab w:val="center" w:pos="4419"/>
        <w:tab w:val="right" w:pos="8838"/>
      </w:tabs>
    </w:pPr>
  </w:style>
  <w:style w:type="paragraph" w:styleId="Footer">
    <w:name w:val="footer"/>
    <w:basedOn w:val="Normal"/>
    <w:pPr>
      <w:tabs>
        <w:tab w:val="center" w:pos="4419"/>
        <w:tab w:val="right" w:pos="8838"/>
      </w:tabs>
    </w:pPr>
  </w:style>
  <w:style w:type="paragraph" w:styleId="BalloonText">
    <w:name w:val="Balloon Text"/>
    <w:basedOn w:val="Normal"/>
    <w:link w:val="TextodebaloChar"/>
    <w:rsid w:val="009F7EC2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link w:val="BalloonText"/>
    <w:rsid w:val="009F7EC2"/>
    <w:rPr>
      <w:rFonts w:ascii="Segoe UI" w:hAnsi="Segoe UI" w:cs="Segoe UI"/>
      <w:sz w:val="18"/>
      <w:szCs w:val="18"/>
    </w:rPr>
  </w:style>
  <w:style w:type="character" w:styleId="Hyperlink">
    <w:name w:val="Hyperlink"/>
    <w:rsid w:val="00455750"/>
    <w:rPr>
      <w:color w:val="0563C1"/>
      <w:u w:val="single"/>
    </w:rPr>
  </w:style>
  <w:style w:type="paragraph" w:styleId="NormalWeb">
    <w:name w:val="Normal (Web)"/>
    <w:basedOn w:val="Normal"/>
    <w:unhideWhenUsed/>
    <w:rsid w:val="00B32BDC"/>
    <w:pPr>
      <w:spacing w:before="100" w:after="100"/>
    </w:pPr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theme" Target="theme/theme1.xml" /><Relationship Id="rId8" Type="http://schemas.openxmlformats.org/officeDocument/2006/relationships/styles" Target="styles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287</Words>
  <Characters>1556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PROJETO DE RESOLUÇÃO Nº     DE 2007</vt:lpstr>
    </vt:vector>
  </TitlesOfParts>
  <Company>Camara Municipal</Company>
  <LinksUpToDate>false</LinksUpToDate>
  <CharactersWithSpaces>1840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PROJETO DE RESOLUÇÃO Nº     DE 2007</dc:title>
  <dc:creator>Secretaria</dc:creator>
  <cp:lastModifiedBy>Conta da Microsoft</cp:lastModifiedBy>
  <cp:revision>5</cp:revision>
  <cp:lastPrinted>2026-10-09T13:38:57Z</cp:lastPrinted>
  <dcterms:created xsi:type="dcterms:W3CDTF">2026-10-08T13:37:00Z</dcterms:created>
  <dcterms:modified xsi:type="dcterms:W3CDTF">2026-10-09T13:34:00Z</dcterms:modified>
</cp:coreProperties>
</file>