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14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14 ao Projeto de Emenda Revisional da Lei Orgânica Nº 1/2026</w:t>
      </w:r>
    </w:p>
    <w:p w:rsidR="00AD2770" w:rsidRPr="00913EC7" w:rsidP="00663E16" w14:paraId="61969891" w14:textId="1319B3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  <w:u w:val="single"/>
        </w:rPr>
      </w:pPr>
      <w:r w:rsidRPr="00913EC7">
        <w:rPr>
          <w:b/>
          <w:color w:val="000000"/>
          <w:sz w:val="24"/>
          <w:szCs w:val="24"/>
          <w:u w:val="single"/>
        </w:rPr>
        <w:t>EMENDA ADITIVA</w:t>
      </w:r>
    </w:p>
    <w:p w:rsidR="00663E16" w:rsidRPr="00EA4967" w:rsidP="00EA4967" w14:paraId="486ECCF3" w14:textId="0D769172">
      <w:pPr>
        <w:pStyle w:val="NormalWeb"/>
        <w:spacing w:line="360" w:lineRule="auto"/>
        <w:rPr>
          <w:b/>
          <w:bCs/>
        </w:rPr>
      </w:pPr>
      <w:r w:rsidRPr="00EA4967">
        <w:rPr>
          <w:rStyle w:val="Emphasis"/>
          <w:i w:val="0"/>
        </w:rPr>
        <w:t>ADICIONA</w:t>
      </w:r>
      <w:r w:rsidRPr="00EA4967" w:rsidR="00757E2E">
        <w:rPr>
          <w:rStyle w:val="Emphasis"/>
          <w:i w:val="0"/>
        </w:rPr>
        <w:t xml:space="preserve"> </w:t>
      </w:r>
      <w:r w:rsidRPr="00EA4967" w:rsidR="001522B3">
        <w:rPr>
          <w:rStyle w:val="Emphasis"/>
          <w:i w:val="0"/>
        </w:rPr>
        <w:t>o</w:t>
      </w:r>
      <w:r w:rsidR="00C1172E">
        <w:rPr>
          <w:rStyle w:val="Emphasis"/>
          <w:i w:val="0"/>
        </w:rPr>
        <w:t>s</w:t>
      </w:r>
      <w:r w:rsidRPr="00EA4967" w:rsidR="001522B3">
        <w:rPr>
          <w:rStyle w:val="Emphasis"/>
          <w:i w:val="0"/>
        </w:rPr>
        <w:t xml:space="preserve"> </w:t>
      </w:r>
      <w:r w:rsidR="001D1EF5">
        <w:rPr>
          <w:rStyle w:val="Emphasis"/>
          <w:i w:val="0"/>
        </w:rPr>
        <w:t>inciso</w:t>
      </w:r>
      <w:r w:rsidR="00C1172E">
        <w:rPr>
          <w:rStyle w:val="Emphasis"/>
          <w:i w:val="0"/>
        </w:rPr>
        <w:t>s XIX, XX, XXI</w:t>
      </w:r>
      <w:r w:rsidRPr="00EA4967" w:rsidR="001522B3">
        <w:rPr>
          <w:rStyle w:val="Emphasis"/>
          <w:i w:val="0"/>
        </w:rPr>
        <w:t xml:space="preserve"> </w:t>
      </w:r>
      <w:r w:rsidR="00C1172E">
        <w:rPr>
          <w:rStyle w:val="Emphasis"/>
          <w:i w:val="0"/>
        </w:rPr>
        <w:t>e XXII ao Art. 70</w:t>
      </w:r>
      <w:r w:rsidRPr="00EA4967">
        <w:rPr>
          <w:rStyle w:val="Emphasis"/>
          <w:i w:val="0"/>
        </w:rPr>
        <w:t xml:space="preserve"> </w:t>
      </w:r>
      <w:r w:rsidR="00C1172E">
        <w:rPr>
          <w:rStyle w:val="Emphasis"/>
          <w:i w:val="0"/>
        </w:rPr>
        <w:t>d</w:t>
      </w:r>
      <w:r w:rsidR="001D1EF5">
        <w:rPr>
          <w:rStyle w:val="Emphasis"/>
          <w:i w:val="0"/>
        </w:rPr>
        <w:t>o Projeto de Emenda Revisional da Lei Orgânica n°01/2026</w:t>
      </w:r>
      <w:r w:rsidRPr="00970D0C" w:rsidR="001D1EF5">
        <w:rPr>
          <w:rStyle w:val="Emphasis"/>
          <w:i w:val="0"/>
        </w:rPr>
        <w:t xml:space="preserve">, que </w:t>
      </w:r>
      <w:r w:rsidRPr="00970D0C" w:rsidR="001D1EF5">
        <w:rPr>
          <w:rStyle w:val="Emphasis"/>
        </w:rPr>
        <w:t>“</w:t>
      </w:r>
      <w:r w:rsidRPr="00555413" w:rsidR="001D1EF5">
        <w:rPr>
          <w:rStyle w:val="Emphasis"/>
        </w:rPr>
        <w:t>DISPÕE SOBRE A REVISÃO DA LEI ORGÂ</w:t>
      </w:r>
      <w:r w:rsidR="001D1EF5">
        <w:rPr>
          <w:rStyle w:val="Emphasis"/>
        </w:rPr>
        <w:t>NICA DO MUNICÍPIO DE MOGI MIRIM.”.</w:t>
      </w:r>
    </w:p>
    <w:p w:rsidR="00663E16" w:rsidRPr="00EA4967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663E16" w:rsidRPr="00EA4967" w:rsidP="00663E16" w14:paraId="1F75EBDA" w14:textId="72CE0FD6">
      <w:pPr>
        <w:pStyle w:val="NormalWeb"/>
        <w:spacing w:line="360" w:lineRule="auto"/>
        <w:rPr>
          <w:rStyle w:val="Strong"/>
        </w:rPr>
      </w:pPr>
      <w:r w:rsidRPr="00EA4967">
        <w:rPr>
          <w:rStyle w:val="Strong"/>
        </w:rPr>
        <w:t>Emenda Aditiva</w:t>
      </w:r>
      <w:r w:rsidRPr="00EA4967">
        <w:rPr>
          <w:rStyle w:val="Strong"/>
        </w:rPr>
        <w:t>:</w:t>
      </w:r>
    </w:p>
    <w:p w:rsidR="00C1172E" w:rsidP="001D1EF5" w14:paraId="3DAAC83E" w14:textId="5C49086C">
      <w:pPr>
        <w:pStyle w:val="NormalWeb"/>
        <w:spacing w:line="360" w:lineRule="auto"/>
        <w:ind w:firstLine="720"/>
        <w:jc w:val="both"/>
      </w:pPr>
      <w:r w:rsidRPr="00C1172E">
        <w:rPr>
          <w:b/>
        </w:rPr>
        <w:t>Art. 70</w:t>
      </w:r>
      <w:r w:rsidRPr="00C1172E">
        <w:t>. Compete privativamente ao Prefeito:</w:t>
      </w:r>
    </w:p>
    <w:p w:rsidR="001D1EF5" w:rsidRPr="00C1172E" w:rsidP="001D1EF5" w14:paraId="512CB517" w14:textId="07F4A3FA">
      <w:pPr>
        <w:pStyle w:val="NormalWeb"/>
        <w:spacing w:line="360" w:lineRule="auto"/>
        <w:ind w:firstLine="720"/>
        <w:jc w:val="both"/>
        <w:rPr>
          <w:rStyle w:val="Emphasis"/>
          <w:b/>
          <w:i w:val="0"/>
          <w:iCs w:val="0"/>
        </w:rPr>
      </w:pPr>
      <w:r w:rsidRPr="00C1172E">
        <w:rPr>
          <w:rStyle w:val="Emphasis"/>
          <w:b/>
          <w:i w:val="0"/>
          <w:iCs w:val="0"/>
        </w:rPr>
        <w:t>XIX –</w:t>
      </w:r>
      <w:r w:rsidRPr="00C1172E">
        <w:rPr>
          <w:shd w:val="clear" w:color="auto" w:fill="FFFFFF"/>
        </w:rPr>
        <w:t xml:space="preserve"> </w:t>
      </w:r>
      <w:r w:rsidR="003540A3">
        <w:rPr>
          <w:b/>
          <w:shd w:val="clear" w:color="auto" w:fill="FFFFFF"/>
        </w:rPr>
        <w:t>responder</w:t>
      </w:r>
      <w:r w:rsidRPr="00C1172E">
        <w:rPr>
          <w:b/>
          <w:shd w:val="clear" w:color="auto" w:fill="FFFFFF"/>
        </w:rPr>
        <w:t xml:space="preserve"> os requerimentos</w:t>
      </w:r>
      <w:r w:rsidR="003540A3">
        <w:rPr>
          <w:b/>
          <w:shd w:val="clear" w:color="auto" w:fill="FFFFFF"/>
        </w:rPr>
        <w:t xml:space="preserve"> e deliberar sobre as</w:t>
      </w:r>
      <w:r w:rsidRPr="00C1172E">
        <w:rPr>
          <w:b/>
          <w:shd w:val="clear" w:color="auto" w:fill="FFFFFF"/>
        </w:rPr>
        <w:t xml:space="preserve"> indicações, ofícios, reclamações ou representações que lhes forem dirigidas</w:t>
      </w:r>
      <w:r w:rsidRPr="00C1172E">
        <w:rPr>
          <w:rStyle w:val="Emphasis"/>
          <w:b/>
          <w:i w:val="0"/>
          <w:iCs w:val="0"/>
        </w:rPr>
        <w:t>;</w:t>
      </w:r>
    </w:p>
    <w:p w:rsidR="00C1172E" w:rsidP="00C1172E" w14:paraId="2A01DA55" w14:textId="44A2148B">
      <w:pPr>
        <w:pStyle w:val="NormalWeb"/>
        <w:spacing w:line="360" w:lineRule="auto"/>
        <w:ind w:firstLine="720"/>
        <w:jc w:val="both"/>
        <w:rPr>
          <w:rStyle w:val="Emphasis"/>
          <w:b/>
          <w:i w:val="0"/>
          <w:iCs w:val="0"/>
        </w:rPr>
      </w:pPr>
      <w:r>
        <w:rPr>
          <w:rStyle w:val="Emphasis"/>
          <w:b/>
          <w:i w:val="0"/>
          <w:iCs w:val="0"/>
        </w:rPr>
        <w:t>XX</w:t>
      </w:r>
      <w:r w:rsidRPr="00C1172E">
        <w:rPr>
          <w:rStyle w:val="Emphasis"/>
          <w:b/>
          <w:i w:val="0"/>
          <w:iCs w:val="0"/>
        </w:rPr>
        <w:t xml:space="preserve"> –</w:t>
      </w:r>
      <w:r>
        <w:rPr>
          <w:rStyle w:val="Emphasis"/>
          <w:b/>
          <w:i w:val="0"/>
          <w:iCs w:val="0"/>
        </w:rPr>
        <w:t xml:space="preserve"> </w:t>
      </w:r>
      <w:r w:rsidRPr="00C1172E">
        <w:rPr>
          <w:rStyle w:val="Emphasis"/>
          <w:b/>
          <w:i w:val="0"/>
          <w:iCs w:val="0"/>
        </w:rPr>
        <w:t>a</w:t>
      </w:r>
      <w:r>
        <w:rPr>
          <w:rStyle w:val="Emphasis"/>
          <w:b/>
          <w:i w:val="0"/>
          <w:iCs w:val="0"/>
        </w:rPr>
        <w:t>presentar anualmente à Câmara e</w:t>
      </w:r>
      <w:r w:rsidRPr="00C1172E">
        <w:rPr>
          <w:rStyle w:val="Emphasis"/>
          <w:b/>
          <w:i w:val="0"/>
          <w:iCs w:val="0"/>
        </w:rPr>
        <w:t xml:space="preserve"> a entidades civis, regularmente registradas e com sede no Município, e aos conselhos populares, que o solicitarem, relatório circunstanciado sobre o estado das obras e dos serviços municipais, bem como o programa da Administração para o ano seguinte, respeitadas as metas</w:t>
      </w:r>
      <w:r>
        <w:rPr>
          <w:rStyle w:val="Emphasis"/>
          <w:b/>
          <w:i w:val="0"/>
          <w:iCs w:val="0"/>
        </w:rPr>
        <w:t xml:space="preserve"> constantes do plano plurianual</w:t>
      </w:r>
      <w:r w:rsidRPr="00C1172E">
        <w:rPr>
          <w:rStyle w:val="Emphasis"/>
          <w:b/>
          <w:i w:val="0"/>
          <w:iCs w:val="0"/>
        </w:rPr>
        <w:t>;</w:t>
      </w:r>
    </w:p>
    <w:p w:rsidR="00C1172E" w:rsidRPr="00C1172E" w:rsidP="00C1172E" w14:paraId="44B47A0C" w14:textId="65668CB3">
      <w:pPr>
        <w:pStyle w:val="NormalWeb"/>
        <w:spacing w:line="360" w:lineRule="auto"/>
        <w:ind w:firstLine="720"/>
        <w:jc w:val="both"/>
        <w:rPr>
          <w:rStyle w:val="Emphasis"/>
          <w:b/>
          <w:i w:val="0"/>
          <w:iCs w:val="0"/>
        </w:rPr>
      </w:pPr>
      <w:r w:rsidRPr="00C1172E">
        <w:rPr>
          <w:rStyle w:val="Emphasis"/>
          <w:b/>
          <w:i w:val="0"/>
          <w:iCs w:val="0"/>
        </w:rPr>
        <w:t>XXI –</w:t>
      </w:r>
      <w:r>
        <w:rPr>
          <w:rStyle w:val="Emphasis"/>
          <w:b/>
          <w:i w:val="0"/>
          <w:iCs w:val="0"/>
        </w:rPr>
        <w:t xml:space="preserve"> </w:t>
      </w:r>
      <w:r w:rsidRPr="00C1172E">
        <w:rPr>
          <w:rStyle w:val="Emphasis"/>
          <w:b/>
          <w:i w:val="0"/>
          <w:iCs w:val="0"/>
        </w:rPr>
        <w:t>contrair empréstimos e realizar operações de crédito, mediante prévia autorização da Câmara</w:t>
      </w:r>
      <w:r>
        <w:rPr>
          <w:rStyle w:val="Emphasis"/>
          <w:b/>
          <w:i w:val="0"/>
          <w:iCs w:val="0"/>
        </w:rPr>
        <w:t>;</w:t>
      </w:r>
    </w:p>
    <w:p w:rsidR="00C1172E" w:rsidP="001D1EF5" w14:paraId="4F5A6A4E" w14:textId="2A00C712">
      <w:pPr>
        <w:pStyle w:val="NormalWeb"/>
        <w:spacing w:line="360" w:lineRule="auto"/>
        <w:ind w:firstLine="720"/>
        <w:jc w:val="both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XXII</w:t>
      </w:r>
      <w:r w:rsidRPr="00C1172E">
        <w:rPr>
          <w:rStyle w:val="Emphasis"/>
          <w:i w:val="0"/>
          <w:iCs w:val="0"/>
        </w:rPr>
        <w:t xml:space="preserve"> – exercer as demais atribuições previstas no ordenamento jurídico.</w:t>
      </w:r>
    </w:p>
    <w:p w:rsidR="001D1EF5" w:rsidRPr="001D1EF5" w:rsidP="001D1EF5" w14:paraId="7C2EE4D7" w14:textId="18B67059">
      <w:pPr>
        <w:pStyle w:val="NormalWeb"/>
        <w:spacing w:line="360" w:lineRule="auto"/>
        <w:ind w:firstLine="720"/>
        <w:jc w:val="both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O atual inciso XIX passará a ser o inciso XXII</w:t>
      </w:r>
      <w:r>
        <w:rPr>
          <w:rStyle w:val="Emphasis"/>
          <w:i w:val="0"/>
          <w:iCs w:val="0"/>
        </w:rPr>
        <w:t>.</w:t>
      </w:r>
    </w:p>
    <w:p w:rsidR="00663E16" w:rsidRPr="00EA4967" w:rsidP="00663E16" w14:paraId="4185D7BE" w14:textId="77777777">
      <w:pPr>
        <w:pStyle w:val="NormalWeb"/>
        <w:spacing w:line="360" w:lineRule="auto"/>
      </w:pPr>
    </w:p>
    <w:p w:rsidR="00F74441" w:rsidRPr="00EA4967" w:rsidP="00663E16" w14:paraId="6AB168D8" w14:textId="5560B6C6">
      <w:pPr>
        <w:pStyle w:val="NormalWeb"/>
        <w:spacing w:line="360" w:lineRule="auto"/>
        <w:jc w:val="center"/>
        <w:rPr>
          <w:rStyle w:val="Strong"/>
        </w:rPr>
      </w:pPr>
      <w:r w:rsidRPr="00EA4967">
        <w:rPr>
          <w:rStyle w:val="Strong"/>
        </w:rPr>
        <w:t>SALA DAS SESSÕES</w:t>
      </w:r>
      <w:r w:rsidR="00E351F2">
        <w:rPr>
          <w:rStyle w:val="Strong"/>
        </w:rPr>
        <w:t xml:space="preserve"> “VEREADOR SANTO RÓTTOLI”, em 14</w:t>
      </w:r>
      <w:r w:rsidR="001D1EF5">
        <w:rPr>
          <w:rStyle w:val="Strong"/>
        </w:rPr>
        <w:t xml:space="preserve"> de outubro de 2026</w:t>
      </w:r>
      <w:r w:rsidRPr="00EA4967">
        <w:rPr>
          <w:rStyle w:val="Strong"/>
        </w:rPr>
        <w:t>.</w:t>
      </w:r>
    </w:p>
    <w:p w:rsidR="00663E16" w:rsidP="00663E16" w14:paraId="46B27A00" w14:textId="77777777">
      <w:pPr>
        <w:pStyle w:val="NormalWeb"/>
        <w:spacing w:line="360" w:lineRule="auto"/>
        <w:jc w:val="center"/>
        <w:rPr>
          <w:rStyle w:val="Strong"/>
        </w:rPr>
      </w:pPr>
    </w:p>
    <w:p w:rsidR="00C1172E" w:rsidP="00663E16" w14:paraId="2A30A6B1" w14:textId="77777777">
      <w:pPr>
        <w:pStyle w:val="NormalWeb"/>
        <w:spacing w:line="360" w:lineRule="auto"/>
        <w:jc w:val="center"/>
        <w:rPr>
          <w:rStyle w:val="Strong"/>
        </w:rPr>
      </w:pPr>
    </w:p>
    <w:p w:rsidR="00C1172E" w:rsidRPr="00EA4967" w:rsidP="00663E16" w14:paraId="27778ADA" w14:textId="77777777">
      <w:pPr>
        <w:pStyle w:val="NormalWeb"/>
        <w:spacing w:line="360" w:lineRule="auto"/>
        <w:jc w:val="center"/>
        <w:rPr>
          <w:rStyle w:val="Strong"/>
        </w:rPr>
      </w:pPr>
    </w:p>
    <w:p w:rsidR="00663E16" w:rsidRPr="00EA4967" w:rsidP="00663E16" w14:paraId="50959F88" w14:textId="77777777">
      <w:pPr>
        <w:pStyle w:val="NormalWeb"/>
        <w:spacing w:line="360" w:lineRule="auto"/>
        <w:jc w:val="center"/>
      </w:pPr>
    </w:p>
    <w:p w:rsidR="00E351F2" w:rsidRPr="003B7ABE" w:rsidP="00E351F2" w14:paraId="7DD1893C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E351F2" w:rsidRPr="003B7ABE" w:rsidP="00E351F2" w14:paraId="6A8ACCE3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69E317AC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48102150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2DDACF42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E351F2" w:rsidRPr="003B7ABE" w:rsidP="00E351F2" w14:paraId="3E4DDE9C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E351F2" w:rsidRPr="003B7ABE" w:rsidP="00E351F2" w14:paraId="4C61D306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5FE96A8A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18A9166A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E351F2" w:rsidRPr="003B7ABE" w:rsidP="00E351F2" w14:paraId="29CD91AA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</w:p>
    <w:p w:rsidR="00E351F2" w:rsidRPr="003B7ABE" w:rsidP="00E351F2" w14:paraId="4E59E03A" w14:textId="77777777">
      <w:pPr>
        <w:spacing w:line="380" w:lineRule="atLeast"/>
        <w:rPr>
          <w:sz w:val="24"/>
          <w:szCs w:val="24"/>
        </w:rPr>
      </w:pPr>
    </w:p>
    <w:p w:rsidR="00E351F2" w:rsidRPr="003B7ABE" w:rsidP="00E351F2" w14:paraId="68FBF71F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2544493D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47BA6EFE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E351F2" w:rsidRPr="003B7ABE" w:rsidP="00E351F2" w14:paraId="5640EB33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Membro</w:t>
      </w:r>
    </w:p>
    <w:p w:rsidR="00663E16" w:rsidRPr="00EA4967" w:rsidP="00663E16" w14:paraId="4D47B5CD" w14:textId="18A8F875">
      <w:pPr>
        <w:spacing w:line="360" w:lineRule="auto"/>
        <w:jc w:val="center"/>
        <w:rPr>
          <w:sz w:val="24"/>
          <w:szCs w:val="24"/>
        </w:rPr>
      </w:pPr>
    </w:p>
    <w:p w:rsidR="00663E16" w:rsidRPr="00EA4967" w:rsidP="00663E16" w14:paraId="2307562C" w14:textId="77777777">
      <w:pPr>
        <w:spacing w:line="360" w:lineRule="auto"/>
        <w:jc w:val="center"/>
        <w:rPr>
          <w:sz w:val="24"/>
          <w:szCs w:val="24"/>
        </w:rPr>
      </w:pPr>
      <w:r w:rsidRPr="00EA4967">
        <w:rPr>
          <w:sz w:val="24"/>
          <w:szCs w:val="24"/>
        </w:rPr>
        <w:br w:type="page"/>
      </w:r>
    </w:p>
    <w:p w:rsidR="006821B3" w:rsidRPr="00EA4967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EA4967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EA4967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F127D5" w:rsidP="00F127D5" w14:paraId="0FC5BC08" w14:textId="4D63F362">
      <w:pPr>
        <w:pStyle w:val="NormalWeb"/>
        <w:spacing w:line="360" w:lineRule="auto"/>
        <w:jc w:val="both"/>
      </w:pPr>
      <w:r w:rsidRPr="00EA4967">
        <w:tab/>
      </w:r>
      <w:r>
        <w:t>A presente proposta de alteração da Lei Orgânica Municipal tem por finalidade ampliar e explicitar as competências privativas do Chefe do Poder Executivo, conferindo maior clareza às atribuições administrativas do Prefeito e fortalecendo os princípios da legalidade, da transparência, da eficiência administrativa e da responsabilidade na gestão pública.</w:t>
      </w:r>
    </w:p>
    <w:p w:rsidR="00F127D5" w:rsidP="00F127D5" w14:paraId="23EAEDA9" w14:textId="0BCB42B9">
      <w:pPr>
        <w:pStyle w:val="NormalWeb"/>
        <w:spacing w:line="360" w:lineRule="auto"/>
        <w:ind w:firstLine="720"/>
        <w:jc w:val="both"/>
      </w:pPr>
      <w:r>
        <w:t xml:space="preserve">O </w:t>
      </w:r>
      <w:r w:rsidRPr="00EE5394">
        <w:rPr>
          <w:b/>
        </w:rPr>
        <w:t>acréscimo do inciso XIX</w:t>
      </w:r>
      <w:r>
        <w:t>, que atribui ao Pref</w:t>
      </w:r>
      <w:r w:rsidR="0080531A">
        <w:t>eito a competência para responder os requerimentos e deliberar sobre as</w:t>
      </w:r>
      <w:bookmarkStart w:id="0" w:name="_GoBack"/>
      <w:bookmarkEnd w:id="0"/>
      <w:r>
        <w:t xml:space="preserve"> indicações, ofícios, reclamações ou representações que lhe forem dirigidos, busca estabelecer expressamente a responsabilidade do Chefe do Poder Executivo pelo recebimento, análise e encaminhamento das demandas que lhe são submetidas. A medida contribui para a organização dos procedimentos administrativos, para a adequada prestação de informações e para o fortalecimento do diálogo institucional entre o Executivo, o Legislativo e a população, observados os prazos e as obrigações previstos na legislação aplicável.</w:t>
      </w:r>
    </w:p>
    <w:p w:rsidR="00F127D5" w:rsidP="00F127D5" w14:paraId="168B85F3" w14:textId="792F06A1">
      <w:pPr>
        <w:pStyle w:val="NormalWeb"/>
        <w:spacing w:line="360" w:lineRule="auto"/>
        <w:ind w:firstLine="720"/>
        <w:jc w:val="both"/>
      </w:pPr>
      <w:r w:rsidRPr="00EE5394">
        <w:rPr>
          <w:b/>
        </w:rPr>
        <w:t>Quanto ao inciso XX</w:t>
      </w:r>
      <w:r>
        <w:t>, a previsão de apresentação anual de relatório circunstanciado à Câmara Municipal, às entidades civis regularmente registradas e sediadas no Município e aos conselhos populares que o solicitarem visa ampliar a transparência da gestão pública e assegurar o acesso às informações relativas ao andamento das obras, à execução dos serviços municipais e ao planejamento administrativo para o exercício seguinte. A iniciativa reforça o controle social, favorece a participação popular e permite o acompanhamento das ações governamentais, garantindo que o programa da Administração esteja alinhado às metas estabelecidas no Plano Plurianual e aos demais instrumentos de planejamento e orçamento público.</w:t>
      </w:r>
    </w:p>
    <w:p w:rsidR="00F127D5" w:rsidP="00F127D5" w14:paraId="019E8636" w14:textId="77777777">
      <w:pPr>
        <w:pStyle w:val="NormalWeb"/>
        <w:spacing w:line="360" w:lineRule="auto"/>
        <w:ind w:firstLine="720"/>
        <w:jc w:val="both"/>
      </w:pPr>
      <w:r>
        <w:t xml:space="preserve">Por sua vez, </w:t>
      </w:r>
      <w:r w:rsidRPr="00EE5394">
        <w:rPr>
          <w:b/>
        </w:rPr>
        <w:t>o inciso XXI</w:t>
      </w:r>
      <w:r>
        <w:t xml:space="preserve"> estabelece expressamente a competência do Prefeito para contrair empréstimos e realizar operações de crédito, condicionada à prévia autorização da Câmara Municipal. A previsão reafirma a necessária harmonia entre os Poderes Executivo e Legislativo e assegura que a contratação de operações de crédito pelo Município esteja sujeita ao controle político-institucional e à avaliação prévia do Poder Legislativo, sem prejuízo da observância das normas constitucionais, fiscais e financeiras pertinentes, especialmente aquelas relativas aos limites de endividamento, à responsabilidade na gestão fiscal e às condições legais para a contratação de crédito público.</w:t>
      </w:r>
    </w:p>
    <w:p w:rsidR="00F127D5" w:rsidP="00F127D5" w14:paraId="398F6B4F" w14:textId="77777777">
      <w:pPr>
        <w:pStyle w:val="NormalWeb"/>
        <w:spacing w:line="360" w:lineRule="auto"/>
        <w:jc w:val="both"/>
      </w:pPr>
    </w:p>
    <w:p w:rsidR="00F127D5" w:rsidP="00F127D5" w14:paraId="022D484E" w14:textId="1C1E536A">
      <w:pPr>
        <w:pStyle w:val="NormalWeb"/>
        <w:spacing w:line="360" w:lineRule="auto"/>
        <w:ind w:firstLine="720"/>
        <w:jc w:val="both"/>
      </w:pPr>
      <w:r>
        <w:t>Dessa forma, os acréscimos propostos visam aperfeiçoar a organização das competências do Poder Executivo Municipal, conferir maior segurança jurídica às atribuições do Prefeito, fortalecer os mecanismos de transparência e controle da Administração Pública e assegurar que as decisões administrativas e financeiras sejam tomadas em conformidade com o ordenamento jurídico vigente.</w:t>
      </w:r>
    </w:p>
    <w:p w:rsidR="00F127D5" w:rsidP="00F127D5" w14:paraId="6BA950AB" w14:textId="1821D1B4">
      <w:pPr>
        <w:pStyle w:val="NormalWeb"/>
        <w:spacing w:line="360" w:lineRule="auto"/>
        <w:ind w:firstLine="720"/>
        <w:jc w:val="both"/>
      </w:pPr>
      <w:r>
        <w:t>A proposta encontra fundamento nos princípios constitucionais que regem a Administração Pública, especialmente os previstos no artigo 37 da Constituição Federal, bem como na autonomia municipal assegurada pelos artigos 29 e 30 da Constituição Federal, respeitada a necessária observância das competências constitucionais dos Poderes Municipais.</w:t>
      </w:r>
    </w:p>
    <w:p w:rsidR="00F127D5" w:rsidP="00F127D5" w14:paraId="7F79A6BB" w14:textId="59889F77">
      <w:pPr>
        <w:pStyle w:val="NormalWeb"/>
        <w:spacing w:line="360" w:lineRule="auto"/>
        <w:ind w:firstLine="720"/>
        <w:jc w:val="both"/>
      </w:pPr>
      <w:r>
        <w:t>Diante do exposto, justifica-se o acréscimo dos incisos XIX, XX e XXI ao rol de competências privativas do Prefeito Municipal na revisão da Lei Orgânica, por se tratar de medida que contribui para o aprimoramento institucional, a transparência administrativa, a participação cidadã e a responsabilidade na gestão dos recursos públicos.</w:t>
      </w:r>
    </w:p>
    <w:p w:rsidR="00D80A2E" w:rsidP="00663E16" w14:paraId="39A4F5B8" w14:textId="1EF7A23D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81506"/>
    <w:rsid w:val="00187FC6"/>
    <w:rsid w:val="00192536"/>
    <w:rsid w:val="001A18FE"/>
    <w:rsid w:val="001A3CE4"/>
    <w:rsid w:val="001B4C21"/>
    <w:rsid w:val="001D1EF5"/>
    <w:rsid w:val="0020165D"/>
    <w:rsid w:val="00213987"/>
    <w:rsid w:val="00227E2C"/>
    <w:rsid w:val="00234376"/>
    <w:rsid w:val="00242356"/>
    <w:rsid w:val="002713EC"/>
    <w:rsid w:val="00297379"/>
    <w:rsid w:val="002A2BD3"/>
    <w:rsid w:val="002B71AC"/>
    <w:rsid w:val="003121C8"/>
    <w:rsid w:val="00314B47"/>
    <w:rsid w:val="00322469"/>
    <w:rsid w:val="003540A3"/>
    <w:rsid w:val="003556F0"/>
    <w:rsid w:val="00371A69"/>
    <w:rsid w:val="00380244"/>
    <w:rsid w:val="0038129E"/>
    <w:rsid w:val="00381C00"/>
    <w:rsid w:val="003A5737"/>
    <w:rsid w:val="003A796B"/>
    <w:rsid w:val="003B7ABE"/>
    <w:rsid w:val="003C5865"/>
    <w:rsid w:val="003F0B47"/>
    <w:rsid w:val="00405098"/>
    <w:rsid w:val="00446FA1"/>
    <w:rsid w:val="00456770"/>
    <w:rsid w:val="004B6FDF"/>
    <w:rsid w:val="004D46DA"/>
    <w:rsid w:val="004E6092"/>
    <w:rsid w:val="005242B1"/>
    <w:rsid w:val="00555413"/>
    <w:rsid w:val="005559D9"/>
    <w:rsid w:val="0057515A"/>
    <w:rsid w:val="005A1F5E"/>
    <w:rsid w:val="005A235E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5E1B"/>
    <w:rsid w:val="007A08D1"/>
    <w:rsid w:val="0080531A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672C0"/>
    <w:rsid w:val="00AD2770"/>
    <w:rsid w:val="00AE5858"/>
    <w:rsid w:val="00AF0C05"/>
    <w:rsid w:val="00AF3296"/>
    <w:rsid w:val="00AF4AC7"/>
    <w:rsid w:val="00B06DC4"/>
    <w:rsid w:val="00B335E8"/>
    <w:rsid w:val="00B57090"/>
    <w:rsid w:val="00BA48C7"/>
    <w:rsid w:val="00BD3D9D"/>
    <w:rsid w:val="00BE41D6"/>
    <w:rsid w:val="00BF2A6F"/>
    <w:rsid w:val="00C10154"/>
    <w:rsid w:val="00C1172E"/>
    <w:rsid w:val="00C2695C"/>
    <w:rsid w:val="00C74E3F"/>
    <w:rsid w:val="00C75973"/>
    <w:rsid w:val="00CA4349"/>
    <w:rsid w:val="00CC3E72"/>
    <w:rsid w:val="00CF288D"/>
    <w:rsid w:val="00D233F3"/>
    <w:rsid w:val="00D23DBF"/>
    <w:rsid w:val="00D33D19"/>
    <w:rsid w:val="00D543E6"/>
    <w:rsid w:val="00D635A7"/>
    <w:rsid w:val="00D66197"/>
    <w:rsid w:val="00D735E2"/>
    <w:rsid w:val="00D80A2E"/>
    <w:rsid w:val="00D81BDB"/>
    <w:rsid w:val="00D9258F"/>
    <w:rsid w:val="00DA1006"/>
    <w:rsid w:val="00DA7AB4"/>
    <w:rsid w:val="00DE2A9A"/>
    <w:rsid w:val="00DF605F"/>
    <w:rsid w:val="00E11ECC"/>
    <w:rsid w:val="00E351F2"/>
    <w:rsid w:val="00E3543A"/>
    <w:rsid w:val="00E57668"/>
    <w:rsid w:val="00E7438B"/>
    <w:rsid w:val="00EA0447"/>
    <w:rsid w:val="00EA375D"/>
    <w:rsid w:val="00EA4967"/>
    <w:rsid w:val="00EA630D"/>
    <w:rsid w:val="00EB1570"/>
    <w:rsid w:val="00EB3C9A"/>
    <w:rsid w:val="00EC5677"/>
    <w:rsid w:val="00ED7D93"/>
    <w:rsid w:val="00EE457C"/>
    <w:rsid w:val="00EE5394"/>
    <w:rsid w:val="00EF4DE4"/>
    <w:rsid w:val="00EF630E"/>
    <w:rsid w:val="00F10F57"/>
    <w:rsid w:val="00F127D5"/>
    <w:rsid w:val="00F21F60"/>
    <w:rsid w:val="00F304D4"/>
    <w:rsid w:val="00F42F8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732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Wagner</cp:lastModifiedBy>
  <cp:revision>6</cp:revision>
  <cp:lastPrinted>2026-10-14T18:20:46Z</cp:lastPrinted>
  <dcterms:created xsi:type="dcterms:W3CDTF">2026-10-14T02:41:00Z</dcterms:created>
  <dcterms:modified xsi:type="dcterms:W3CDTF">2026-10-14T18:20:00Z</dcterms:modified>
</cp:coreProperties>
</file>