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19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19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6876EA99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Pr="00745472" w:rsidR="00745472">
        <w:rPr>
          <w:rFonts w:ascii="Courier New" w:hAnsi="Courier New" w:cs="Courier New"/>
          <w:i/>
          <w:iCs/>
          <w:kern w:val="3"/>
          <w:sz w:val="22"/>
          <w:szCs w:val="22"/>
        </w:rPr>
        <w:t>SUBSTITUTIVA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39C2A796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61729A">
        <w:rPr>
          <w:rFonts w:ascii="Courier New" w:hAnsi="Courier New" w:cs="Courier New"/>
          <w:sz w:val="22"/>
          <w:szCs w:val="22"/>
        </w:rPr>
        <w:t xml:space="preserve">Substitui-se o </w:t>
      </w:r>
      <w:r w:rsidR="0019131C">
        <w:rPr>
          <w:rFonts w:ascii="Courier New" w:hAnsi="Courier New" w:cs="Courier New"/>
          <w:sz w:val="22"/>
          <w:szCs w:val="22"/>
        </w:rPr>
        <w:t>§ 1º</w:t>
      </w:r>
      <w:r w:rsidRPr="001D2791" w:rsidR="001D2791">
        <w:rPr>
          <w:rFonts w:ascii="Courier New" w:hAnsi="Courier New" w:cs="Courier New"/>
          <w:sz w:val="22"/>
          <w:szCs w:val="22"/>
        </w:rPr>
        <w:t xml:space="preserve"> do art. </w:t>
      </w:r>
      <w:r w:rsidR="0019131C">
        <w:rPr>
          <w:rFonts w:ascii="Courier New" w:hAnsi="Courier New" w:cs="Courier New"/>
          <w:sz w:val="22"/>
          <w:szCs w:val="22"/>
        </w:rPr>
        <w:t>57</w:t>
      </w:r>
      <w:r w:rsidRPr="001D2791" w:rsidR="001D2791">
        <w:rPr>
          <w:rFonts w:ascii="Courier New" w:hAnsi="Courier New" w:cs="Courier New"/>
          <w:sz w:val="22"/>
          <w:szCs w:val="22"/>
        </w:rPr>
        <w:t xml:space="preserve"> do Projeto de Emenda Revisional da Lei Orgânica nº 1/2026, </w:t>
      </w:r>
      <w:r w:rsidRPr="0061729A">
        <w:rPr>
          <w:rFonts w:ascii="Courier New" w:hAnsi="Courier New" w:cs="Courier New"/>
          <w:sz w:val="22"/>
          <w:szCs w:val="22"/>
        </w:rPr>
        <w:t>passando a vigorar com a seguinte redação:</w:t>
      </w:r>
    </w:p>
    <w:p w:rsidR="00274563" w:rsidRPr="00852ED9" w:rsidP="00274563" w14:paraId="109EAE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ORIGINAL:</w:t>
      </w:r>
    </w:p>
    <w:p w:rsidR="00AC0FB7" w:rsidRPr="00AC0FB7" w:rsidP="00AC0FB7" w14:paraId="3B4C471B" w14:textId="4708BE8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19131C">
        <w:rPr>
          <w:rFonts w:ascii="Courier New" w:hAnsi="Courier New" w:cs="Courier New"/>
          <w:b/>
          <w:bCs/>
          <w:sz w:val="22"/>
          <w:szCs w:val="22"/>
        </w:rPr>
        <w:t>57</w:t>
      </w:r>
      <w:r w:rsidR="0061729A">
        <w:rPr>
          <w:rFonts w:ascii="Courier New" w:hAnsi="Courier New" w:cs="Courier New"/>
          <w:b/>
          <w:bCs/>
          <w:sz w:val="22"/>
          <w:szCs w:val="22"/>
        </w:rPr>
        <w:t>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19131C" w14:paraId="1AA90913" w14:textId="235E68C0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§ 1º</w:t>
      </w:r>
      <w:r w:rsidR="001D2791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A iniciativa poderá ser da Mesa, de Comissão, de um terço dos Vereadores ou de cinco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por cento do eleitorado.</w:t>
      </w:r>
    </w:p>
    <w:p w:rsidR="00274563" w:rsidRPr="00852ED9" w:rsidP="00274563" w14:paraId="61CDE70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1D2791" w:rsidRPr="00AC0FB7" w:rsidP="001D2791" w14:paraId="0870C693" w14:textId="51AEB33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19131C">
        <w:rPr>
          <w:rFonts w:ascii="Courier New" w:hAnsi="Courier New" w:cs="Courier New"/>
          <w:b/>
          <w:bCs/>
          <w:sz w:val="22"/>
          <w:szCs w:val="22"/>
        </w:rPr>
        <w:t>57</w:t>
      </w:r>
      <w:r>
        <w:rPr>
          <w:rFonts w:ascii="Courier New" w:hAnsi="Courier New" w:cs="Courier New"/>
          <w:b/>
          <w:bCs/>
          <w:sz w:val="22"/>
          <w:szCs w:val="22"/>
        </w:rPr>
        <w:t>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1D2791" w14:paraId="62DFA518" w14:textId="188CA984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§ 1º</w:t>
      </w:r>
      <w:r w:rsidR="001D2791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 xml:space="preserve">A iniciativa poderá ser da Mesa, de Comissão, de um terço dos Vereadores ou de, no mínimo, </w:t>
      </w:r>
      <w:r>
        <w:rPr>
          <w:rFonts w:ascii="Courier New" w:hAnsi="Courier New" w:cs="Courier New"/>
          <w:sz w:val="22"/>
          <w:szCs w:val="22"/>
        </w:rPr>
        <w:t>1% (</w:t>
      </w:r>
      <w:r w:rsidRPr="0019131C">
        <w:rPr>
          <w:rFonts w:ascii="Courier New" w:hAnsi="Courier New" w:cs="Courier New"/>
          <w:sz w:val="22"/>
          <w:szCs w:val="22"/>
        </w:rPr>
        <w:t>um por cento</w:t>
      </w:r>
      <w:r>
        <w:rPr>
          <w:rFonts w:ascii="Courier New" w:hAnsi="Courier New" w:cs="Courier New"/>
          <w:sz w:val="22"/>
          <w:szCs w:val="22"/>
        </w:rPr>
        <w:t>)</w:t>
      </w:r>
      <w:r w:rsidRPr="0019131C">
        <w:rPr>
          <w:rFonts w:ascii="Courier New" w:hAnsi="Courier New" w:cs="Courier New"/>
          <w:sz w:val="22"/>
          <w:szCs w:val="22"/>
        </w:rPr>
        <w:t xml:space="preserve"> do eleitorado do Município</w:t>
      </w:r>
      <w:r w:rsidRPr="0061729A" w:rsidR="001D2791">
        <w:rPr>
          <w:rFonts w:ascii="Courier New" w:hAnsi="Courier New" w:cs="Courier New"/>
          <w:sz w:val="22"/>
          <w:szCs w:val="22"/>
        </w:rPr>
        <w:t>.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0EE62D6B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66849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19131C" w:rsidRPr="0019131C" w:rsidP="0019131C" w14:paraId="4013317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presente Emenda Substitutiva tem por finalidade ampliar o acesso da população aos instrumentos de democracia direta, mediante redução de cinco para um por cento do eleitorado do requisito de subscrição de iniciativas populares destinadas à realização de plebiscitos e referendos no Município de Mogi Mirim.</w:t>
      </w:r>
    </w:p>
    <w:p w:rsidR="0019131C" w:rsidRPr="0019131C" w:rsidP="0019131C" w14:paraId="02E23E2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Constituição Federal, em seu art. 1º, parágrafo único, reconhece que o poder político pertence ao povo, admitindo seu exercício direto nos termos constitucionais. O art. 14, incisos I e II, estabelece expressamente o plebiscito e o referendo como instrumentos de exercício da soberania popular.</w:t>
      </w:r>
    </w:p>
    <w:p w:rsidR="0019131C" w:rsidRPr="0019131C" w:rsidP="0019131C" w14:paraId="2F626B9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Esses mecanismos não se confundem com a iniciativa popular legislativa. Enquanto esta permite a apresentação de projetos normativos à apreciação do Poder Legislativo, o plebiscito e o referendo possibilitam a manifestação direta do eleitorado sobre matérias de relevante interesse público, observadas as hipóteses e os procedimentos legalmente admitidos.</w:t>
      </w:r>
    </w:p>
    <w:p w:rsidR="0019131C" w:rsidRPr="0019131C" w:rsidP="0019131C" w14:paraId="0AB84182" w14:textId="2DEA3136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Lei Federal nº 9.709, de 18 de novembro de 1998, regulamenta os instrumentos de democracia direta previstos no art. 14 da Constituição Federal.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Seu art. 2º distingue o plebiscito, convocado anteriormente à prática do ato legislativo ou administrativo, do referendo, realizado posteriormente, para ratificação ou rejeição do ato submetido à consulta.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O art. 6º da mesma Lei estabelece expressamente que, nas questões de competência municipal, plebiscitos e referendos serão convocados em conformidade com a respectiva Lei Orgânica.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Desse modo, a legislação federal reconhece a competência normativa municipal para disciplinar esses instrumentos, desde que respeitadas as exigências constitucionais e eleitorais pertinentes.</w:t>
      </w:r>
    </w:p>
    <w:p w:rsidR="0019131C" w:rsidRPr="0019131C" w:rsidP="0019131C" w14:paraId="03FFCECC" w14:textId="1AE49D1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Constituição do Estado de São Paulo adota parâmetro expresso de participação popular que reforça a pertinência da presente alteração.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Nos termos de seu art. 24, § 3º, item 2, um por cento do eleitorado estadual poderá requerer à Assembleia Legislativa a realização de referendo sobre lei.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O item 3 do mesmo dispositivo também contempla a iniciativa de um por cento do eleitorado para a realização de plebiscito sobre questões relevantes aos destinos do Estado, observados os procedimentos nele estabelecidos.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Embora tais regras disciplinem especificamente os instrumentos estaduais, demonstram que a exigência de um por cento do eleitorado constitui parâmetro normativo expressamente admitido pela Constituição paulista para o exercício da iniciativa popular de consultas democráticas.</w:t>
      </w:r>
    </w:p>
    <w:p w:rsidR="0019131C" w:rsidRPr="0019131C" w:rsidP="0019131C" w14:paraId="1285F5E0" w14:textId="7E2F1BBC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jurisprudência do Supremo Tribunal Federal reconhece a competência do Poder Legislativo para a definição das hipóteses de submissão de matérias a consultas populares, ressalvadas aquelas obrigatoriamente previstas na Constituição.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 xml:space="preserve">Nesse sentido, no </w:t>
      </w:r>
      <w:r w:rsidRPr="0019131C">
        <w:rPr>
          <w:rFonts w:ascii="Courier New" w:hAnsi="Courier New" w:cs="Courier New"/>
          <w:sz w:val="22"/>
          <w:szCs w:val="22"/>
        </w:rPr>
        <w:t>julgamento da Ação Direta de Inconstitucionalidade nº 6.965/RS, o STF reconheceu a legitimidade da opção legislativa relativa à exigência de consulta popular para determinadas decisões estaduais, evidenciando o papel do legislador na disciplina desses mecanismos, dentro dos limites constitucionais.</w:t>
      </w:r>
      <w:r w:rsidR="00FF446D">
        <w:rPr>
          <w:rFonts w:ascii="Courier New" w:hAnsi="Courier New" w:cs="Courier New"/>
          <w:sz w:val="22"/>
          <w:szCs w:val="22"/>
        </w:rPr>
        <w:t xml:space="preserve"> </w:t>
      </w:r>
      <w:r w:rsidRPr="0019131C">
        <w:rPr>
          <w:rFonts w:ascii="Courier New" w:hAnsi="Courier New" w:cs="Courier New"/>
          <w:sz w:val="22"/>
          <w:szCs w:val="22"/>
        </w:rPr>
        <w:t>O referido julgamento não estabeleceu percentual mínimo de assinaturas para iniciativas populares de consultas municipais, mas reafirma que a definição das hipóteses legais de utilização desses instrumentos integra a esfera de conformação normativa do Poder Legislativo.</w:t>
      </w:r>
    </w:p>
    <w:p w:rsidR="0019131C" w:rsidRPr="0019131C" w:rsidP="0019131C" w14:paraId="143118B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alteração ora proposta limita-se à redução do requisito necessário para que os cidadãos apresentem a iniciativa de consulta, sem dispensar sua aprovação pela Câmara Municipal, quando constitucionalmente exigida, nem afastar as competências da Justiça Eleitoral.</w:t>
      </w:r>
    </w:p>
    <w:p w:rsidR="0019131C" w:rsidRPr="0019131C" w:rsidP="0019131C" w14:paraId="0B7297D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Permanecem aplicáveis o art. 14, § 12, da Constituição Federal, a legislação eleitoral e as disposições da Resolução TSE nº 23.385/2012, com as alterações introduzidas pela Resolução TSE nº 23.772/2026, referentes aos procedimentos e às condições de realização das consultas populares.</w:t>
      </w:r>
    </w:p>
    <w:p w:rsidR="0019131C" w:rsidRPr="0019131C" w:rsidP="0019131C" w14:paraId="5584C3A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Emenda também preserva integralmente as demais modalidades de iniciativa previstas no § 1º do art. 57, inclusive aquelas atribuídas à Mesa Diretora, às Comissões e a um terço dos Vereadores.</w:t>
      </w:r>
    </w:p>
    <w:p w:rsidR="0019131C" w:rsidRPr="0019131C" w:rsidP="0019131C" w14:paraId="6BCD70B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A redução do percentual permite ampliar as possibilidades de apresentação de demandas coletivas ao Poder Legislativo, sem modificar a competência decisória da Câmara ou criar obrigação de realização automática de consultas à margem das normas constitucionais.</w:t>
      </w:r>
    </w:p>
    <w:p w:rsidR="008871E7" w:rsidRPr="00852ED9" w:rsidP="0019131C" w14:paraId="5C06C57F" w14:textId="03D6C84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9131C">
        <w:rPr>
          <w:rFonts w:ascii="Courier New" w:hAnsi="Courier New" w:cs="Courier New"/>
          <w:sz w:val="22"/>
          <w:szCs w:val="22"/>
        </w:rPr>
        <w:t>Dessa forma, a presente Emenda promove o aperfeiçoamento dos mecanismos de participação democrática municipal, em consonância com a autonomia local, com os instrumentos de soberania popular previstos na Constituição Federal e com os parâmetros de participação estabelecidos pela Constituição do Estado de São Paulo.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64C97"/>
    <w:rsid w:val="0006767B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131C"/>
    <w:rsid w:val="00191C89"/>
    <w:rsid w:val="001949B0"/>
    <w:rsid w:val="001959EF"/>
    <w:rsid w:val="0019618A"/>
    <w:rsid w:val="001A39DE"/>
    <w:rsid w:val="001B42BA"/>
    <w:rsid w:val="001C3AA6"/>
    <w:rsid w:val="001D2791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350B"/>
    <w:rsid w:val="002F76C7"/>
    <w:rsid w:val="00307AFD"/>
    <w:rsid w:val="003226F4"/>
    <w:rsid w:val="00327030"/>
    <w:rsid w:val="003274BA"/>
    <w:rsid w:val="00332D04"/>
    <w:rsid w:val="00351C70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5EEC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1729A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0234"/>
    <w:rsid w:val="00702152"/>
    <w:rsid w:val="00704898"/>
    <w:rsid w:val="00706322"/>
    <w:rsid w:val="00720772"/>
    <w:rsid w:val="007214E8"/>
    <w:rsid w:val="00721E52"/>
    <w:rsid w:val="007256BA"/>
    <w:rsid w:val="00727359"/>
    <w:rsid w:val="007273FD"/>
    <w:rsid w:val="00731990"/>
    <w:rsid w:val="00743770"/>
    <w:rsid w:val="00744EB9"/>
    <w:rsid w:val="00744EFF"/>
    <w:rsid w:val="00745472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73FF4"/>
    <w:rsid w:val="008842AF"/>
    <w:rsid w:val="008844E4"/>
    <w:rsid w:val="008871E7"/>
    <w:rsid w:val="00892F20"/>
    <w:rsid w:val="008A0234"/>
    <w:rsid w:val="008A26DA"/>
    <w:rsid w:val="008A7123"/>
    <w:rsid w:val="008C2FCC"/>
    <w:rsid w:val="008C42BB"/>
    <w:rsid w:val="008D10B2"/>
    <w:rsid w:val="008E2705"/>
    <w:rsid w:val="008F62DF"/>
    <w:rsid w:val="00915827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1BB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3340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523AF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CF66D2"/>
    <w:rsid w:val="00D168E9"/>
    <w:rsid w:val="00D16FA4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D6EE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  <w:rsid w:val="00FF446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3</Pages>
  <Words>840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97</cp:revision>
  <cp:lastPrinted>2026-10-14T19:25:03Z</cp:lastPrinted>
  <dcterms:created xsi:type="dcterms:W3CDTF">2026-01-09T01:35:00Z</dcterms:created>
  <dcterms:modified xsi:type="dcterms:W3CDTF">2026-10-14T18:20:00Z</dcterms:modified>
</cp:coreProperties>
</file>