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22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22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6876EA99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Pr="00745472" w:rsidR="00745472">
        <w:rPr>
          <w:rFonts w:ascii="Courier New" w:hAnsi="Courier New" w:cs="Courier New"/>
          <w:i/>
          <w:iCs/>
          <w:kern w:val="3"/>
          <w:sz w:val="22"/>
          <w:szCs w:val="22"/>
        </w:rPr>
        <w:t>SUBSTITUTIVA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148D6B3D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61729A">
        <w:rPr>
          <w:rFonts w:ascii="Courier New" w:hAnsi="Courier New" w:cs="Courier New"/>
          <w:sz w:val="22"/>
          <w:szCs w:val="22"/>
        </w:rPr>
        <w:t>Substitui-se o §2º do art. 200 do Projeto de Emenda Revisional à Lei Orgânica nº 1/2026, passando a vigorar com a seguinte redação:</w:t>
      </w:r>
    </w:p>
    <w:p w:rsidR="00274563" w:rsidRPr="00852ED9" w:rsidP="00274563" w14:paraId="109EAEF2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2AA24B3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TEXTO ORIGINAL:</w:t>
      </w:r>
    </w:p>
    <w:p w:rsidR="00AC0FB7" w:rsidRPr="00AC0FB7" w:rsidP="00AC0FB7" w14:paraId="3B4C471B" w14:textId="648A01C0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 w:rsidR="0061729A">
        <w:rPr>
          <w:rFonts w:ascii="Courier New" w:hAnsi="Courier New" w:cs="Courier New"/>
          <w:b/>
          <w:bCs/>
          <w:sz w:val="22"/>
          <w:szCs w:val="22"/>
        </w:rPr>
        <w:t>200.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AC0FB7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274563" w:rsidRPr="00852ED9" w:rsidP="0061729A" w14:paraId="1AA90913" w14:textId="7616FEE2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>§</w:t>
      </w:r>
      <w:r w:rsidR="00706322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="0061729A">
        <w:rPr>
          <w:rFonts w:ascii="Courier New" w:hAnsi="Courier New" w:cs="Courier New"/>
          <w:b/>
          <w:bCs/>
          <w:sz w:val="22"/>
          <w:szCs w:val="22"/>
        </w:rPr>
        <w:t>2</w:t>
      </w:r>
      <w:r w:rsidRPr="00AC0FB7">
        <w:rPr>
          <w:rFonts w:ascii="Courier New" w:hAnsi="Courier New" w:cs="Courier New"/>
          <w:b/>
          <w:bCs/>
          <w:sz w:val="22"/>
          <w:szCs w:val="22"/>
        </w:rPr>
        <w:t>º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 w:rsidRPr="0061729A" w:rsidR="0061729A">
        <w:rPr>
          <w:rFonts w:ascii="Courier New" w:hAnsi="Courier New" w:cs="Courier New"/>
          <w:sz w:val="22"/>
          <w:szCs w:val="22"/>
        </w:rPr>
        <w:t>Será dada publicidade aos estudos ambientais e assegurada participação popular nos</w:t>
      </w:r>
      <w:r w:rsidR="0061729A">
        <w:rPr>
          <w:rFonts w:ascii="Courier New" w:hAnsi="Courier New" w:cs="Courier New"/>
          <w:sz w:val="22"/>
          <w:szCs w:val="22"/>
        </w:rPr>
        <w:t xml:space="preserve"> </w:t>
      </w:r>
      <w:r w:rsidRPr="0061729A" w:rsidR="0061729A">
        <w:rPr>
          <w:rFonts w:ascii="Courier New" w:hAnsi="Courier New" w:cs="Courier New"/>
          <w:sz w:val="22"/>
          <w:szCs w:val="22"/>
        </w:rPr>
        <w:t>casos legalmente exigidos.</w:t>
      </w:r>
    </w:p>
    <w:p w:rsidR="00274563" w:rsidRPr="00852ED9" w:rsidP="00274563" w14:paraId="61CDE70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3250289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NOVA REDAÇÃO PROPOSTA:</w:t>
      </w:r>
    </w:p>
    <w:p w:rsidR="00AC0FB7" w:rsidRPr="00AC0FB7" w:rsidP="00AC0FB7" w14:paraId="0125110E" w14:textId="0A41B1F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 w:rsidR="00706322">
        <w:rPr>
          <w:rFonts w:ascii="Courier New" w:hAnsi="Courier New" w:cs="Courier New"/>
          <w:b/>
          <w:bCs/>
          <w:sz w:val="22"/>
          <w:szCs w:val="22"/>
        </w:rPr>
        <w:t>200</w:t>
      </w:r>
      <w:r w:rsidRPr="00AC0FB7">
        <w:rPr>
          <w:rFonts w:ascii="Courier New" w:hAnsi="Courier New" w:cs="Courier New"/>
          <w:b/>
          <w:bCs/>
          <w:sz w:val="22"/>
          <w:szCs w:val="22"/>
        </w:rPr>
        <w:t>.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AC0FB7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274563" w:rsidRPr="00852ED9" w:rsidP="00AC0FB7" w14:paraId="62DFA518" w14:textId="1554ED0E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>§</w:t>
      </w:r>
      <w:r w:rsidR="00706322">
        <w:rPr>
          <w:rFonts w:ascii="Courier New" w:hAnsi="Courier New" w:cs="Courier New"/>
          <w:b/>
          <w:bCs/>
          <w:sz w:val="22"/>
          <w:szCs w:val="22"/>
        </w:rPr>
        <w:t xml:space="preserve"> 2</w:t>
      </w:r>
      <w:r w:rsidRPr="00AC0FB7">
        <w:rPr>
          <w:rFonts w:ascii="Courier New" w:hAnsi="Courier New" w:cs="Courier New"/>
          <w:b/>
          <w:bCs/>
          <w:sz w:val="22"/>
          <w:szCs w:val="22"/>
        </w:rPr>
        <w:t>º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 w:rsidRPr="00706322" w:rsidR="00706322">
        <w:rPr>
          <w:rFonts w:ascii="Courier New" w:hAnsi="Courier New" w:cs="Courier New"/>
          <w:sz w:val="22"/>
          <w:szCs w:val="22"/>
        </w:rPr>
        <w:t>Será dada ampla publicidade aos estudos ambientais e, para obra ou atividade potencialmente causadora de significativa degradação ambiental, será garantida a realização de audiência pública, sem prejuízo de outras formas de participação popular previstas na legislação aplicável</w:t>
      </w:r>
      <w:r w:rsidRPr="0061729A" w:rsidR="0061729A">
        <w:rPr>
          <w:rFonts w:ascii="Courier New" w:hAnsi="Courier New" w:cs="Courier New"/>
          <w:sz w:val="22"/>
          <w:szCs w:val="22"/>
        </w:rPr>
        <w:t>.</w:t>
      </w:r>
    </w:p>
    <w:p w:rsidR="00274563" w:rsidRPr="00852ED9" w:rsidP="00274563" w14:paraId="38CD6788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3F0A1504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689221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706322" w:rsidRPr="00706322" w:rsidP="00706322" w14:paraId="01C6C24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>A presente Emenda tem por finalidade preservar, no novo texto da Lei Orgânica, garantia procedimental ambiental que já integra o ordenamento municipal vigente: a realização de audiência pública no licenciamento de atividades potencialmente causadoras de significativa degradação do meio ambiente.</w:t>
      </w:r>
    </w:p>
    <w:p w:rsidR="00706322" w:rsidRPr="00706322" w:rsidP="00706322" w14:paraId="411775C8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>A Lei Orgânica atualmente vigente, em seu art. 184, § 1º, estabelece que a licença ambiental para atividade potencialmente causadora de significativa degradação será precedida de estudo prévio de impacto ambiental e respectivo relatório, com prévia publicidade, “garantida a realização de audiências públicas”. O Projeto Revisional conserva a exigência de estudo prévio de impacto ambiental no art. 200, § 1º, mas seu § 2º passa a assegurar participação popular apenas “nos casos legalmente exigidos”, sem manter expressamente a audiência pública como garantia local.</w:t>
      </w:r>
    </w:p>
    <w:p w:rsidR="00706322" w:rsidRPr="00706322" w:rsidP="00706322" w14:paraId="3C0E53A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 xml:space="preserve">A redação proposta pelo Projeto Revisional é hoje complementada pela Lei Federal nº 15.190/2025 (Lei Geral do Licenciamento Ambiental), cujo art. 40 determina a realização de pelo menos uma audiência pública nos processos de licenciamento de atividades ou </w:t>
      </w:r>
      <w:r w:rsidRPr="00706322">
        <w:rPr>
          <w:rFonts w:ascii="Courier New" w:hAnsi="Courier New" w:cs="Courier New"/>
          <w:sz w:val="22"/>
          <w:szCs w:val="22"/>
        </w:rPr>
        <w:t>empreendimentos</w:t>
      </w:r>
      <w:r w:rsidRPr="00706322">
        <w:rPr>
          <w:rFonts w:ascii="Courier New" w:hAnsi="Courier New" w:cs="Courier New"/>
          <w:sz w:val="22"/>
          <w:szCs w:val="22"/>
        </w:rPr>
        <w:t xml:space="preserve"> sujeitos a EIA, antes da decisão final sobre a Licença Prévia. Assim, a audiência pública já constitui exigência legal federal nos casos alcançados pelo art. 200, § 1º, do Projeto. A presente Emenda, se mantida, teria função de explicitar e preservar essa garantia no próprio texto orgânico municipal, e não de suprir uma inexistência atual da legislação federal.</w:t>
      </w:r>
    </w:p>
    <w:p w:rsidR="00706322" w:rsidRPr="00706322" w:rsidP="00706322" w14:paraId="0CABD78E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>A Constituição Federal, em seu art. 225, reconhece o meio ambiente ecologicamente equilibrado como direito de todos e impõe ao Poder Público e à coletividade o dever de defendê-lo e preservá-lo. Para obras ou atividades potencialmente causadoras de significativa degradação, o art. 225, § 1º, IV, exige estudo prévio de impacto ambiental com publicidade, formando a base constitucional do controle preventivo ambiental.</w:t>
      </w:r>
    </w:p>
    <w:p w:rsidR="00706322" w:rsidRPr="00706322" w:rsidP="00706322" w14:paraId="37792AA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 xml:space="preserve">A participação social em matéria ambiental possui, ainda, proteção jurisprudencial específica. Na ADPF 651/DF, Rel. Min. </w:t>
      </w:r>
      <w:r w:rsidRPr="00706322">
        <w:rPr>
          <w:rFonts w:ascii="Courier New" w:hAnsi="Courier New" w:cs="Courier New"/>
          <w:sz w:val="22"/>
          <w:szCs w:val="22"/>
        </w:rPr>
        <w:t>Cármen</w:t>
      </w:r>
      <w:r w:rsidRPr="00706322">
        <w:rPr>
          <w:rFonts w:ascii="Courier New" w:hAnsi="Courier New" w:cs="Courier New"/>
          <w:sz w:val="22"/>
          <w:szCs w:val="22"/>
        </w:rPr>
        <w:t xml:space="preserve"> Lúcia, o Supremo Tribunal Federal reconheceu a incompatibilidade constitucional de medidas que afastavam a participação da sociedade civil de instâncias ambientais, associando a proteção ambiental à participação popular direta e à vedação do retrocesso institucional em matéria ambiental.</w:t>
      </w:r>
    </w:p>
    <w:p w:rsidR="00706322" w:rsidRPr="00706322" w:rsidP="00706322" w14:paraId="3E66B1E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 xml:space="preserve">Quanto à competência municipal, o STF fixou no Tema 145 da repercussão geral, no RE 586.224/SP, a tese de que o Município é competente para legislar sobre meio ambiente juntamente com a União e o Estado, no limite do interesse local e desde que a disciplina municipal seja harmônica com a estabelecida pelos demais entes </w:t>
      </w:r>
      <w:r w:rsidRPr="00706322">
        <w:rPr>
          <w:rFonts w:ascii="Courier New" w:hAnsi="Courier New" w:cs="Courier New"/>
          <w:sz w:val="22"/>
          <w:szCs w:val="22"/>
        </w:rPr>
        <w:t>federativos. A garantia de audiência pública em procedimento ambiental municipal é compatível com essa competência suplementar e não afasta as regras federais ou estaduais de licenciamento.</w:t>
      </w:r>
    </w:p>
    <w:p w:rsidR="00706322" w:rsidRPr="00706322" w:rsidP="00706322" w14:paraId="04C46F5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 xml:space="preserve">A jurisprudência constitucional também reforça a natureza preventiva do licenciamento ambiental. Na ADI 6.808/DF, Rel. Min. </w:t>
      </w:r>
      <w:r w:rsidRPr="00706322">
        <w:rPr>
          <w:rFonts w:ascii="Courier New" w:hAnsi="Courier New" w:cs="Courier New"/>
          <w:sz w:val="22"/>
          <w:szCs w:val="22"/>
        </w:rPr>
        <w:t>Cármen</w:t>
      </w:r>
      <w:r w:rsidRPr="00706322">
        <w:rPr>
          <w:rFonts w:ascii="Courier New" w:hAnsi="Courier New" w:cs="Courier New"/>
          <w:sz w:val="22"/>
          <w:szCs w:val="22"/>
        </w:rPr>
        <w:t xml:space="preserve"> Lúcia, o STF afastou a aplicação de regime de licenciamento automático às licenças ambientais, reafirmando a necessidade de controle administrativo compatível com a proteção constitucional do meio ambiente.</w:t>
      </w:r>
    </w:p>
    <w:p w:rsidR="00706322" w:rsidRPr="00706322" w:rsidP="00706322" w14:paraId="7EF151A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>A Emenda não cria órgão, cargo, estrutura administrativa ou nova política pública. Tampouco interfere na competência técnica do órgão licenciador para decidir sobre a concessão ou não da licença. Limita-se a preservar, no texto revisional, espaço público de informação, manifestação e controle social que já é assegurado pela Lei Orgânica vigente para os casos de maior impacto ambiental.</w:t>
      </w:r>
    </w:p>
    <w:p w:rsidR="008871E7" w:rsidRPr="00852ED9" w:rsidP="00706322" w14:paraId="5C06C57F" w14:textId="0AD71C3D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06322">
        <w:rPr>
          <w:rFonts w:ascii="Courier New" w:hAnsi="Courier New" w:cs="Courier New"/>
          <w:sz w:val="22"/>
          <w:szCs w:val="22"/>
        </w:rPr>
        <w:t>Dessa forma, a nova redação mantém a modernização promovida pelo art. 200, mas evita que a revisão da Lei Orgânica resulte na redução de uma garantia local de participação social já existente no procedimento de licenciamento ambiental.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6D9C"/>
    <w:rsid w:val="00064C97"/>
    <w:rsid w:val="00076553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1C89"/>
    <w:rsid w:val="001949B0"/>
    <w:rsid w:val="001959EF"/>
    <w:rsid w:val="0019618A"/>
    <w:rsid w:val="001A39DE"/>
    <w:rsid w:val="001B42BA"/>
    <w:rsid w:val="001C3AA6"/>
    <w:rsid w:val="00200F1C"/>
    <w:rsid w:val="002210E8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350B"/>
    <w:rsid w:val="002F76C7"/>
    <w:rsid w:val="00307AFD"/>
    <w:rsid w:val="003226F4"/>
    <w:rsid w:val="00327030"/>
    <w:rsid w:val="003274BA"/>
    <w:rsid w:val="00332D04"/>
    <w:rsid w:val="00351C70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5EEC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1729A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06322"/>
    <w:rsid w:val="00720772"/>
    <w:rsid w:val="007214E8"/>
    <w:rsid w:val="00721E52"/>
    <w:rsid w:val="007256BA"/>
    <w:rsid w:val="00727359"/>
    <w:rsid w:val="007273FD"/>
    <w:rsid w:val="00731990"/>
    <w:rsid w:val="00743770"/>
    <w:rsid w:val="00744EB9"/>
    <w:rsid w:val="00744EFF"/>
    <w:rsid w:val="00745472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63FC7"/>
    <w:rsid w:val="00873FF4"/>
    <w:rsid w:val="008842AF"/>
    <w:rsid w:val="008844E4"/>
    <w:rsid w:val="008871E7"/>
    <w:rsid w:val="00892F20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1BB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E015C"/>
    <w:rsid w:val="00BE07EE"/>
    <w:rsid w:val="00BE3319"/>
    <w:rsid w:val="00BE342B"/>
    <w:rsid w:val="00BE50D2"/>
    <w:rsid w:val="00BF3340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523AF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16FA4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FB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3</Pages>
  <Words>737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93</cp:revision>
  <cp:lastPrinted>2026-10-14T19:27:46Z</cp:lastPrinted>
  <dcterms:created xsi:type="dcterms:W3CDTF">2026-01-09T01:35:00Z</dcterms:created>
  <dcterms:modified xsi:type="dcterms:W3CDTF">2026-10-14T16:44:00Z</dcterms:modified>
</cp:coreProperties>
</file>