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7571D2" w:rsidRPr="00852ED9" w:rsidP="007F4EEB" w14:paraId="2298CC55" w14:textId="77777777">
      <w:pPr>
        <w:overflowPunct w:val="0"/>
        <w:autoSpaceDN w:val="0"/>
        <w:spacing w:before="120" w:after="120" w:line="276" w:lineRule="auto"/>
        <w:jc w:val="center"/>
        <w:rPr>
          <w:rFonts w:ascii="Courier New" w:hAnsi="Courier New" w:cs="Courier New"/>
          <w:b/>
          <w:bCs/>
          <w:kern w:val="3"/>
          <w:sz w:val="28"/>
          <w:szCs w:val="28"/>
        </w:rPr>
      </w:pPr>
      <w:r w:rsidRPr="00852ED9">
        <w:rPr>
          <w:rFonts w:ascii="Courier New" w:hAnsi="Courier New" w:cs="Courier New"/>
          <w:b/>
          <w:bCs/>
          <w:kern w:val="3"/>
          <w:sz w:val="28"/>
          <w:szCs w:val="28"/>
        </w:rPr>
        <w:t>Emenda Nº 23 ao Projeto de Emenda Revisional da Lei Orgânica Nº 1/2026</w:t>
      </w:r>
      <w:r w:rsidRPr="00852ED9">
        <w:rPr>
          <w:rFonts w:ascii="Courier New" w:hAnsi="Courier New" w:cs="Courier New"/>
          <w:b/>
          <w:bCs/>
          <w:kern w:val="3"/>
          <w:sz w:val="28"/>
          <w:szCs w:val="28"/>
        </w:rPr>
        <w:t>Emenda Nº 23 ao Projeto de Emenda Revisional da Lei Orgânica Nº 1/2026</w:t>
      </w:r>
    </w:p>
    <w:p w:rsidR="00EE2F9D" w:rsidRPr="00852ED9" w:rsidP="007F4EEB" w14:paraId="27CE3156" w14:textId="77777777">
      <w:pPr>
        <w:overflowPunct w:val="0"/>
        <w:autoSpaceDN w:val="0"/>
        <w:spacing w:before="120" w:after="120" w:line="276" w:lineRule="auto"/>
        <w:jc w:val="both"/>
        <w:rPr>
          <w:rFonts w:ascii="Courier New" w:hAnsi="Courier New" w:cs="Courier New"/>
          <w:kern w:val="3"/>
          <w:sz w:val="22"/>
          <w:szCs w:val="22"/>
        </w:rPr>
      </w:pPr>
    </w:p>
    <w:p w:rsidR="00274563" w:rsidRPr="00852ED9" w:rsidP="00274563" w14:paraId="7E0E4768" w14:textId="29A5456B">
      <w:pPr>
        <w:overflowPunct w:val="0"/>
        <w:autoSpaceDN w:val="0"/>
        <w:spacing w:before="120" w:after="120" w:line="276" w:lineRule="auto"/>
        <w:jc w:val="right"/>
        <w:rPr>
          <w:rFonts w:ascii="Courier New" w:hAnsi="Courier New" w:cs="Courier New"/>
          <w:i/>
          <w:iCs/>
          <w:kern w:val="3"/>
          <w:sz w:val="22"/>
          <w:szCs w:val="22"/>
        </w:rPr>
      </w:pPr>
      <w:r w:rsidRPr="00852ED9">
        <w:rPr>
          <w:rFonts w:ascii="Courier New" w:hAnsi="Courier New" w:cs="Courier New"/>
          <w:i/>
          <w:iCs/>
          <w:kern w:val="3"/>
          <w:sz w:val="22"/>
          <w:szCs w:val="22"/>
        </w:rPr>
        <w:t xml:space="preserve">(EMENDA </w:t>
      </w:r>
      <w:r w:rsidR="00B82BC4">
        <w:rPr>
          <w:rFonts w:ascii="Courier New" w:hAnsi="Courier New" w:cs="Courier New"/>
          <w:i/>
          <w:iCs/>
          <w:kern w:val="3"/>
          <w:sz w:val="22"/>
          <w:szCs w:val="22"/>
        </w:rPr>
        <w:t>ADITIVA</w:t>
      </w:r>
      <w:r w:rsidRPr="00852ED9">
        <w:rPr>
          <w:rFonts w:ascii="Courier New" w:hAnsi="Courier New" w:cs="Courier New"/>
          <w:i/>
          <w:iCs/>
          <w:kern w:val="3"/>
          <w:sz w:val="22"/>
          <w:szCs w:val="22"/>
        </w:rPr>
        <w:t xml:space="preserve"> AO</w:t>
      </w:r>
      <w:r w:rsidRPr="00852ED9">
        <w:rPr>
          <w:rFonts w:ascii="Courier New" w:hAnsi="Courier New" w:cs="Courier New"/>
          <w:i/>
          <w:iCs/>
          <w:kern w:val="3"/>
          <w:sz w:val="22"/>
          <w:szCs w:val="22"/>
        </w:rPr>
        <w:br/>
        <w:t>PROJETO DE EMENDA REVISIONAL DA LEI ORGÂNICA Nº 1/2026)</w:t>
      </w:r>
    </w:p>
    <w:p w:rsidR="00274563" w:rsidRPr="00852ED9" w:rsidP="00274563" w14:paraId="04D6530D" w14:textId="77777777">
      <w:pPr>
        <w:overflowPunct w:val="0"/>
        <w:autoSpaceDN w:val="0"/>
        <w:spacing w:before="120" w:after="120" w:line="276" w:lineRule="auto"/>
        <w:jc w:val="both"/>
        <w:rPr>
          <w:rFonts w:ascii="Courier New" w:hAnsi="Courier New" w:cs="Courier New"/>
          <w:kern w:val="3"/>
          <w:sz w:val="22"/>
          <w:szCs w:val="22"/>
        </w:rPr>
      </w:pPr>
    </w:p>
    <w:p w:rsidR="00274563" w:rsidRPr="00852ED9" w:rsidP="00274563" w14:paraId="2D3CCD5A" w14:textId="308CA9FB">
      <w:pPr>
        <w:spacing w:before="120" w:after="120" w:line="276" w:lineRule="auto"/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B82BC4">
        <w:rPr>
          <w:rFonts w:ascii="Courier New" w:hAnsi="Courier New" w:cs="Courier New"/>
          <w:sz w:val="22"/>
          <w:szCs w:val="22"/>
        </w:rPr>
        <w:t>Acrescenta</w:t>
      </w:r>
      <w:r>
        <w:rPr>
          <w:rFonts w:ascii="Courier New" w:hAnsi="Courier New" w:cs="Courier New"/>
          <w:sz w:val="22"/>
          <w:szCs w:val="22"/>
        </w:rPr>
        <w:t>-se</w:t>
      </w:r>
      <w:r w:rsidRPr="00B82BC4">
        <w:rPr>
          <w:rFonts w:ascii="Courier New" w:hAnsi="Courier New" w:cs="Courier New"/>
          <w:sz w:val="22"/>
          <w:szCs w:val="22"/>
        </w:rPr>
        <w:t xml:space="preserve"> o art. </w:t>
      </w:r>
      <w:r w:rsidR="00B36AE9">
        <w:rPr>
          <w:rFonts w:ascii="Courier New" w:hAnsi="Courier New" w:cs="Courier New"/>
          <w:sz w:val="22"/>
          <w:szCs w:val="22"/>
        </w:rPr>
        <w:t>215</w:t>
      </w:r>
      <w:r w:rsidR="00985CA5">
        <w:rPr>
          <w:rFonts w:ascii="Courier New" w:hAnsi="Courier New" w:cs="Courier New"/>
          <w:sz w:val="22"/>
          <w:szCs w:val="22"/>
        </w:rPr>
        <w:t>-A</w:t>
      </w:r>
      <w:r w:rsidRPr="00B82BC4">
        <w:rPr>
          <w:rFonts w:ascii="Courier New" w:hAnsi="Courier New" w:cs="Courier New"/>
          <w:sz w:val="22"/>
          <w:szCs w:val="22"/>
        </w:rPr>
        <w:t xml:space="preserve"> do Projeto de Emenda Revisional à Lei Orgânica nº 1/2026</w:t>
      </w:r>
      <w:r w:rsidRPr="00852ED9">
        <w:rPr>
          <w:rFonts w:ascii="Courier New" w:hAnsi="Courier New" w:cs="Courier New"/>
          <w:sz w:val="22"/>
          <w:szCs w:val="22"/>
        </w:rPr>
        <w:t>, passando a vigorar com a seguinte redação:</w:t>
      </w:r>
    </w:p>
    <w:p w:rsidR="00274563" w:rsidP="00B82BC4" w14:paraId="38CD6788" w14:textId="77777777">
      <w:pPr>
        <w:spacing w:before="120" w:after="120" w:line="276" w:lineRule="auto"/>
        <w:jc w:val="both"/>
        <w:rPr>
          <w:rFonts w:ascii="Courier New" w:hAnsi="Courier New" w:cs="Courier New"/>
          <w:sz w:val="22"/>
          <w:szCs w:val="22"/>
        </w:rPr>
      </w:pPr>
    </w:p>
    <w:p w:rsidR="00B36AE9" w:rsidRPr="00B36AE9" w:rsidP="00B36AE9" w14:paraId="685DE3F2" w14:textId="77777777">
      <w:pPr>
        <w:spacing w:before="120" w:after="120" w:line="276" w:lineRule="auto"/>
        <w:jc w:val="both"/>
        <w:rPr>
          <w:rFonts w:ascii="Courier New" w:hAnsi="Courier New" w:cs="Courier New"/>
          <w:sz w:val="22"/>
          <w:szCs w:val="22"/>
        </w:rPr>
      </w:pPr>
      <w:r w:rsidRPr="00B82BC4">
        <w:rPr>
          <w:rFonts w:ascii="Courier New" w:hAnsi="Courier New" w:cs="Courier New"/>
          <w:sz w:val="22"/>
          <w:szCs w:val="22"/>
        </w:rPr>
        <w:t>“</w:t>
      </w:r>
      <w:r w:rsidRPr="00B36AE9">
        <w:rPr>
          <w:rFonts w:ascii="Courier New" w:hAnsi="Courier New" w:cs="Courier New"/>
          <w:b/>
          <w:bCs/>
          <w:sz w:val="22"/>
          <w:szCs w:val="22"/>
        </w:rPr>
        <w:t>Art. 215-A.</w:t>
      </w:r>
      <w:r w:rsidRPr="00B36AE9">
        <w:rPr>
          <w:rFonts w:ascii="Courier New" w:hAnsi="Courier New" w:cs="Courier New"/>
          <w:sz w:val="22"/>
          <w:szCs w:val="22"/>
        </w:rPr>
        <w:t xml:space="preserve"> Fica assegurada a manutenção do Serviço Autônomo de Água e Esgotos de Mogi Mirim (SAAE) como autarquia municipal de direito público, responsável pelos serviços de abastecimento de água potável e de coleta e afastamento de esgotos sanitários sob sua execução direta, sendo vedadas sua privatização, sua transformação em pessoa jurídica de direito privado e sua extinção com a finalidade de transferir à iniciativa privada os serviços que presta diretamente.</w:t>
      </w:r>
    </w:p>
    <w:p w:rsidR="00B36AE9" w:rsidRPr="00B36AE9" w:rsidP="00B36AE9" w14:paraId="6A7749EA" w14:textId="77777777">
      <w:pPr>
        <w:spacing w:before="120" w:after="120" w:line="276" w:lineRule="auto"/>
        <w:jc w:val="both"/>
        <w:rPr>
          <w:rFonts w:ascii="Courier New" w:hAnsi="Courier New" w:cs="Courier New"/>
          <w:sz w:val="22"/>
          <w:szCs w:val="22"/>
        </w:rPr>
      </w:pPr>
      <w:r w:rsidRPr="00B36AE9">
        <w:rPr>
          <w:rFonts w:ascii="Courier New" w:hAnsi="Courier New" w:cs="Courier New"/>
          <w:b/>
          <w:bCs/>
          <w:sz w:val="22"/>
          <w:szCs w:val="22"/>
        </w:rPr>
        <w:t>§ 1º</w:t>
      </w:r>
      <w:r w:rsidRPr="00B36AE9">
        <w:rPr>
          <w:rFonts w:ascii="Courier New" w:hAnsi="Courier New" w:cs="Courier New"/>
          <w:sz w:val="22"/>
          <w:szCs w:val="22"/>
        </w:rPr>
        <w:t xml:space="preserve"> A delegação, total ou parcial, à iniciativa privada da prestação dos serviços de abastecimento de água potável e de esgotamento sanitário atualmente executados diretamente pelo SAAE, inclusive mediante concessão ou parceria público-privada, dependerá de prévia aprovação popular em plebiscito, observadas as competências da Câmara Municipal, a legislação federal de saneamento básico, a legislação eleitoral e as normas da Justiça Eleitoral.</w:t>
      </w:r>
    </w:p>
    <w:p w:rsidR="00B36AE9" w:rsidRPr="00B36AE9" w:rsidP="00B36AE9" w14:paraId="3B3D02B5" w14:textId="5A7DEA05">
      <w:pPr>
        <w:spacing w:before="120" w:after="120" w:line="276" w:lineRule="auto"/>
        <w:jc w:val="both"/>
        <w:rPr>
          <w:rFonts w:ascii="Courier New" w:hAnsi="Courier New" w:cs="Courier New"/>
          <w:sz w:val="22"/>
          <w:szCs w:val="22"/>
        </w:rPr>
      </w:pPr>
      <w:r w:rsidRPr="00B36AE9">
        <w:rPr>
          <w:rFonts w:ascii="Courier New" w:hAnsi="Courier New" w:cs="Courier New"/>
          <w:b/>
          <w:bCs/>
          <w:sz w:val="22"/>
          <w:szCs w:val="22"/>
        </w:rPr>
        <w:t>§ 2º</w:t>
      </w:r>
      <w:r w:rsidRPr="00B36AE9">
        <w:rPr>
          <w:rFonts w:ascii="Courier New" w:hAnsi="Courier New" w:cs="Courier New"/>
          <w:sz w:val="22"/>
          <w:szCs w:val="22"/>
        </w:rPr>
        <w:t xml:space="preserve"> Previamente à deliberação legislativa sobre a realização do plebiscito, a proposta de delegação e os respectivos estudos técnicos e econômico-financeiros deverão ser submetidos à análise e ao parecer conclusivo do Conselho Gestor do Saneamento Ambiental, asseguradas sua ampla divulgação e a realização de audiências públicas</w:t>
      </w:r>
      <w:r w:rsidR="00745FE1">
        <w:rPr>
          <w:rFonts w:ascii="Courier New" w:hAnsi="Courier New" w:cs="Courier New"/>
          <w:sz w:val="22"/>
          <w:szCs w:val="22"/>
        </w:rPr>
        <w:t xml:space="preserve"> em, pelo menos, todas as zonas municipais e no distrito de Martim Francisco</w:t>
      </w:r>
      <w:r w:rsidRPr="00B36AE9">
        <w:rPr>
          <w:rFonts w:ascii="Courier New" w:hAnsi="Courier New" w:cs="Courier New"/>
          <w:sz w:val="22"/>
          <w:szCs w:val="22"/>
        </w:rPr>
        <w:t>, nos termos da legislação municipal.</w:t>
      </w:r>
    </w:p>
    <w:p w:rsidR="00B36AE9" w:rsidRPr="00B36AE9" w:rsidP="00B36AE9" w14:paraId="71A6AF68" w14:textId="77777777">
      <w:pPr>
        <w:spacing w:before="120" w:after="120" w:line="276" w:lineRule="auto"/>
        <w:jc w:val="both"/>
        <w:rPr>
          <w:rFonts w:ascii="Courier New" w:hAnsi="Courier New" w:cs="Courier New"/>
          <w:sz w:val="22"/>
          <w:szCs w:val="22"/>
        </w:rPr>
      </w:pPr>
      <w:r w:rsidRPr="00B36AE9">
        <w:rPr>
          <w:rFonts w:ascii="Courier New" w:hAnsi="Courier New" w:cs="Courier New"/>
          <w:b/>
          <w:bCs/>
          <w:sz w:val="22"/>
          <w:szCs w:val="22"/>
        </w:rPr>
        <w:t>§ 3º</w:t>
      </w:r>
      <w:r w:rsidRPr="00B36AE9">
        <w:rPr>
          <w:rFonts w:ascii="Courier New" w:hAnsi="Courier New" w:cs="Courier New"/>
          <w:sz w:val="22"/>
          <w:szCs w:val="22"/>
        </w:rPr>
        <w:t xml:space="preserve"> O disposto neste artigo não prejudica os contratos de concessão celebrados anteriormente à sua promulgação, cuja execução observará a legislação e as condições contratuais aplicáveis, nem impede a contratação de obras, bens e serviços instrumentais necessários ao funcionamento do SAAE, desde que não configure delegação da prestação dos serviços públicos abrangidos pelo § 1º.</w:t>
      </w:r>
    </w:p>
    <w:p w:rsidR="00B36AE9" w:rsidRPr="00B82BC4" w:rsidP="00B36AE9" w14:paraId="5DFF718C" w14:textId="0E12E551">
      <w:pPr>
        <w:spacing w:before="120" w:after="120" w:line="276" w:lineRule="auto"/>
        <w:jc w:val="both"/>
        <w:rPr>
          <w:rFonts w:ascii="Courier New" w:hAnsi="Courier New" w:cs="Courier New"/>
          <w:sz w:val="22"/>
          <w:szCs w:val="22"/>
        </w:rPr>
      </w:pPr>
      <w:r w:rsidRPr="00B36AE9">
        <w:rPr>
          <w:rFonts w:ascii="Courier New" w:hAnsi="Courier New" w:cs="Courier New"/>
          <w:b/>
          <w:bCs/>
          <w:sz w:val="22"/>
          <w:szCs w:val="22"/>
        </w:rPr>
        <w:t>§ 4º</w:t>
      </w:r>
      <w:r w:rsidRPr="00B36AE9">
        <w:rPr>
          <w:rFonts w:ascii="Courier New" w:hAnsi="Courier New" w:cs="Courier New"/>
          <w:sz w:val="22"/>
          <w:szCs w:val="22"/>
        </w:rPr>
        <w:t xml:space="preserve"> As disposições deste artigo observarão, quando aplicáveis, as competências relativas à titularidade compartilhada e à governança regional dos serviços de saneamento básico de interesse comum, nos termos da Constituição Federal e da legislação nacional."</w:t>
      </w:r>
    </w:p>
    <w:p w:rsidR="00B82BC4" w:rsidRPr="00852ED9" w:rsidP="00B82BC4" w14:paraId="283DD89C" w14:textId="77777777">
      <w:pPr>
        <w:spacing w:before="120" w:after="120" w:line="276" w:lineRule="auto"/>
        <w:jc w:val="both"/>
        <w:rPr>
          <w:rFonts w:ascii="Courier New" w:hAnsi="Courier New" w:cs="Courier New"/>
          <w:sz w:val="22"/>
          <w:szCs w:val="22"/>
        </w:rPr>
      </w:pPr>
    </w:p>
    <w:p w:rsidR="00274563" w:rsidRPr="00852ED9" w:rsidP="00274563" w14:paraId="3B098FC4" w14:textId="5FF523EC">
      <w:pPr>
        <w:spacing w:before="120" w:after="120" w:line="276" w:lineRule="auto"/>
        <w:jc w:val="right"/>
        <w:rPr>
          <w:rFonts w:ascii="Courier New" w:hAnsi="Courier New" w:cs="Courier New"/>
          <w:i/>
          <w:iCs/>
          <w:sz w:val="22"/>
          <w:szCs w:val="22"/>
        </w:rPr>
      </w:pPr>
      <w:r w:rsidRPr="00852ED9">
        <w:rPr>
          <w:rFonts w:ascii="Courier New" w:hAnsi="Courier New" w:cs="Courier New"/>
          <w:i/>
          <w:iCs/>
          <w:sz w:val="22"/>
          <w:szCs w:val="22"/>
        </w:rPr>
        <w:t xml:space="preserve">Sala das Sessões “Vereador Santo </w:t>
      </w:r>
      <w:r w:rsidRPr="00852ED9">
        <w:rPr>
          <w:rFonts w:ascii="Courier New" w:hAnsi="Courier New" w:cs="Courier New"/>
          <w:i/>
          <w:iCs/>
          <w:sz w:val="22"/>
          <w:szCs w:val="22"/>
        </w:rPr>
        <w:t>Róttoli</w:t>
      </w:r>
      <w:r w:rsidRPr="00852ED9">
        <w:rPr>
          <w:rFonts w:ascii="Courier New" w:hAnsi="Courier New" w:cs="Courier New"/>
          <w:i/>
          <w:iCs/>
          <w:sz w:val="22"/>
          <w:szCs w:val="22"/>
        </w:rPr>
        <w:t xml:space="preserve">”, </w:t>
      </w:r>
      <w:r w:rsidRPr="00852ED9">
        <w:rPr>
          <w:rFonts w:ascii="Courier New" w:hAnsi="Courier New" w:cs="Courier New"/>
          <w:i/>
          <w:iCs/>
          <w:sz w:val="22"/>
          <w:szCs w:val="22"/>
        </w:rPr>
        <w:fldChar w:fldCharType="begin"/>
      </w:r>
      <w:r w:rsidRPr="00852ED9">
        <w:rPr>
          <w:rFonts w:ascii="Courier New" w:hAnsi="Courier New" w:cs="Courier New"/>
          <w:i/>
          <w:iCs/>
          <w:sz w:val="22"/>
          <w:szCs w:val="22"/>
        </w:rPr>
        <w:instrText xml:space="preserve"> TIME \@ "d' de 'MMMM' de 'yyyy" </w:instrText>
      </w:r>
      <w:r w:rsidRPr="00852ED9">
        <w:rPr>
          <w:rFonts w:ascii="Courier New" w:hAnsi="Courier New" w:cs="Courier New"/>
          <w:i/>
          <w:iCs/>
          <w:sz w:val="22"/>
          <w:szCs w:val="22"/>
        </w:rPr>
        <w:fldChar w:fldCharType="separate"/>
      </w:r>
      <w:r w:rsidRPr="00852ED9">
        <w:rPr>
          <w:rFonts w:ascii="Courier New" w:hAnsi="Courier New" w:cs="Courier New"/>
          <w:i/>
          <w:iCs/>
          <w:sz w:val="22"/>
          <w:szCs w:val="22"/>
        </w:rPr>
        <w:t>14 de outubro de 2026</w:t>
      </w:r>
      <w:r w:rsidRPr="00852ED9">
        <w:rPr>
          <w:rFonts w:ascii="Courier New" w:hAnsi="Courier New" w:cs="Courier New"/>
          <w:i/>
          <w:iCs/>
          <w:sz w:val="22"/>
          <w:szCs w:val="22"/>
        </w:rPr>
        <w:fldChar w:fldCharType="end"/>
      </w:r>
      <w:r w:rsidRPr="00852ED9">
        <w:rPr>
          <w:rFonts w:ascii="Courier New" w:hAnsi="Courier New" w:cs="Courier New"/>
          <w:i/>
          <w:iCs/>
          <w:sz w:val="22"/>
          <w:szCs w:val="22"/>
        </w:rPr>
        <w:t>.</w:t>
      </w:r>
    </w:p>
    <w:p w:rsidR="00274563" w:rsidP="00274563" w14:paraId="78DD375A" w14:textId="77777777">
      <w:pPr>
        <w:spacing w:before="120" w:after="120" w:line="276" w:lineRule="auto"/>
        <w:ind w:firstLine="708"/>
        <w:jc w:val="both"/>
        <w:rPr>
          <w:rFonts w:ascii="Courier New" w:hAnsi="Courier New" w:cs="Courier New"/>
          <w:sz w:val="22"/>
          <w:szCs w:val="22"/>
        </w:rPr>
      </w:pPr>
    </w:p>
    <w:p w:rsidR="00852ED9" w:rsidRPr="00852ED9" w:rsidP="00274563" w14:paraId="3724FF22" w14:textId="77777777">
      <w:pPr>
        <w:spacing w:before="120" w:after="120" w:line="276" w:lineRule="auto"/>
        <w:ind w:firstLine="708"/>
        <w:jc w:val="both"/>
        <w:rPr>
          <w:rFonts w:ascii="Courier New" w:hAnsi="Courier New" w:cs="Courier New"/>
          <w:sz w:val="22"/>
          <w:szCs w:val="22"/>
        </w:rPr>
      </w:pPr>
    </w:p>
    <w:p w:rsidR="00465074" w:rsidRPr="00852ED9" w:rsidP="00A70115" w14:paraId="74A51B15" w14:textId="77777777">
      <w:pPr>
        <w:spacing w:before="120" w:after="120" w:line="276" w:lineRule="auto"/>
        <w:jc w:val="center"/>
        <w:rPr>
          <w:rFonts w:ascii="Courier New" w:hAnsi="Courier New" w:cs="Courier New"/>
          <w:sz w:val="22"/>
          <w:szCs w:val="22"/>
        </w:rPr>
      </w:pPr>
      <w:r w:rsidRPr="00852ED9">
        <w:rPr>
          <w:rFonts w:ascii="Courier New" w:hAnsi="Courier New" w:cs="Courier New"/>
          <w:i/>
          <w:iCs/>
          <w:sz w:val="22"/>
          <w:szCs w:val="22"/>
        </w:rPr>
        <w:t>(assinado digitalmente)</w:t>
      </w:r>
    </w:p>
    <w:p w:rsidR="00465074" w:rsidRPr="00852ED9" w:rsidP="00A70115" w14:paraId="7D0CF115" w14:textId="77777777">
      <w:pPr>
        <w:spacing w:before="120" w:after="120" w:line="276" w:lineRule="auto"/>
        <w:jc w:val="center"/>
        <w:rPr>
          <w:rFonts w:ascii="Courier New" w:hAnsi="Courier New" w:cs="Courier New"/>
          <w:b/>
          <w:bCs/>
          <w:sz w:val="22"/>
          <w:szCs w:val="22"/>
        </w:rPr>
      </w:pPr>
      <w:r w:rsidRPr="00852ED9">
        <w:rPr>
          <w:rFonts w:ascii="Courier New" w:hAnsi="Courier New" w:cs="Courier New"/>
          <w:b/>
          <w:bCs/>
          <w:sz w:val="22"/>
          <w:szCs w:val="22"/>
        </w:rPr>
        <w:t>VEREADOR ERNANI LUIZ DONATTI GRAGNANELLO</w:t>
      </w:r>
      <w:r w:rsidRPr="00852ED9">
        <w:rPr>
          <w:rFonts w:ascii="Courier New" w:hAnsi="Courier New" w:cs="Courier New"/>
          <w:b/>
          <w:bCs/>
          <w:sz w:val="22"/>
          <w:szCs w:val="22"/>
        </w:rPr>
        <w:br/>
        <w:t>PARTIDO DOS TRABALHADORES (PT)</w:t>
      </w:r>
    </w:p>
    <w:p w:rsidR="00465074" w:rsidRPr="00852ED9" w:rsidP="005C5121" w14:paraId="5FEF3A86" w14:textId="77777777">
      <w:pPr>
        <w:spacing w:before="120" w:after="120" w:line="276" w:lineRule="auto"/>
        <w:jc w:val="center"/>
        <w:rPr>
          <w:rFonts w:ascii="Courier New" w:hAnsi="Courier New" w:cs="Courier New"/>
          <w:sz w:val="22"/>
          <w:szCs w:val="22"/>
        </w:rPr>
      </w:pPr>
      <w:r w:rsidRPr="00852ED9">
        <w:rPr>
          <w:rFonts w:ascii="Courier New" w:hAnsi="Courier New" w:cs="Courier New"/>
          <w:b/>
          <w:noProof/>
          <w:sz w:val="22"/>
          <w:szCs w:val="22"/>
        </w:rPr>
        <w:drawing>
          <wp:inline distT="0" distB="0" distL="0" distR="0">
            <wp:extent cx="2658395" cy="1233577"/>
            <wp:effectExtent l="0" t="0" r="8890" b="5080"/>
            <wp:docPr id="562387860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5053022" name="Imagem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88" t="19460" r="7742" b="25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8540" cy="13403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52ED9">
        <w:rPr>
          <w:rFonts w:ascii="Courier New" w:hAnsi="Courier New" w:cs="Courier New"/>
          <w:sz w:val="22"/>
          <w:szCs w:val="22"/>
        </w:rPr>
        <w:br w:type="page"/>
      </w:r>
    </w:p>
    <w:p w:rsidR="00465074" w:rsidRPr="00852ED9" w:rsidP="005C5121" w14:paraId="77A50B75" w14:textId="77777777">
      <w:pPr>
        <w:spacing w:before="120" w:after="120" w:line="276" w:lineRule="auto"/>
        <w:jc w:val="center"/>
        <w:rPr>
          <w:rFonts w:ascii="Courier New" w:hAnsi="Courier New" w:cs="Courier New"/>
          <w:b/>
          <w:bCs/>
          <w:sz w:val="22"/>
          <w:szCs w:val="22"/>
          <w:u w:val="single"/>
        </w:rPr>
      </w:pPr>
      <w:r w:rsidRPr="00852ED9">
        <w:rPr>
          <w:rFonts w:ascii="Courier New" w:hAnsi="Courier New" w:cs="Courier New"/>
          <w:b/>
          <w:bCs/>
          <w:sz w:val="22"/>
          <w:szCs w:val="22"/>
          <w:u w:val="single"/>
        </w:rPr>
        <w:t>JUSTIFICAÇÃO</w:t>
      </w:r>
    </w:p>
    <w:p w:rsidR="00465074" w:rsidRPr="00852ED9" w:rsidP="003B578C" w14:paraId="11B56D1C" w14:textId="77777777">
      <w:pPr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</w:p>
    <w:p w:rsidR="00B36AE9" w:rsidRPr="00B36AE9" w:rsidP="00B36AE9" w14:paraId="5934E8CC" w14:textId="77777777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B36AE9">
        <w:rPr>
          <w:rFonts w:ascii="Courier New" w:hAnsi="Courier New" w:cs="Courier New"/>
          <w:sz w:val="22"/>
          <w:szCs w:val="22"/>
        </w:rPr>
        <w:t>A presente Emenda Aditiva tem por finalidade assegurar, na Lei Orgânica do Município de Mogi Mirim, a preservação da natureza pública do Serviço Autônomo de Água e Esgotos (SAAE) e estabelecer garantias de participação democrática em eventuais propostas de transferência à iniciativa privada dos serviços de abastecimento de água e esgotamento sanitário atualmente executados diretamente pela autarquia.</w:t>
      </w:r>
    </w:p>
    <w:p w:rsidR="00B36AE9" w:rsidRPr="00B36AE9" w:rsidP="00B36AE9" w14:paraId="1FEA2916" w14:textId="77777777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B36AE9">
        <w:rPr>
          <w:rFonts w:ascii="Courier New" w:hAnsi="Courier New" w:cs="Courier New"/>
          <w:sz w:val="22"/>
          <w:szCs w:val="22"/>
        </w:rPr>
        <w:t>A proposta encontra fundamento no caráter essencial desses serviços, diretamente relacionados à saúde pública, à proteção do meio ambiente, à dignidade humana e ao acesso da população a condições adequadas de vida.</w:t>
      </w:r>
    </w:p>
    <w:p w:rsidR="00B36AE9" w:rsidRPr="00B36AE9" w:rsidP="00B36AE9" w14:paraId="58CD3FE6" w14:textId="77777777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B36AE9">
        <w:rPr>
          <w:rFonts w:ascii="Courier New" w:hAnsi="Courier New" w:cs="Courier New"/>
          <w:sz w:val="22"/>
          <w:szCs w:val="22"/>
        </w:rPr>
        <w:t>O art. 30, inciso V, da Constituição Federal estabelece a competência municipal para organizar e prestar, diretamente ou sob regime de concessão ou permissão, os serviços públicos de interesse local. Por sua vez, o art. 175 da Constituição Federal disciplina sua prestação pelo Poder Público, diretamente ou mediante delegação, observadas as condições legais.</w:t>
      </w:r>
    </w:p>
    <w:p w:rsidR="00B36AE9" w:rsidRPr="00B36AE9" w:rsidP="00B36AE9" w14:paraId="448E4642" w14:textId="77777777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B36AE9">
        <w:rPr>
          <w:rFonts w:ascii="Courier New" w:hAnsi="Courier New" w:cs="Courier New"/>
          <w:sz w:val="22"/>
          <w:szCs w:val="22"/>
        </w:rPr>
        <w:t>A Lei Federal nº 11.445/2007, com as alterações introduzidas pela Lei nº 14.026/2020, estabelece, em seu art. 8º, inciso I, que os Municípios exercem a titularidade dos serviços públicos de saneamento básico de interesse local. Seu art. 9º, inciso II, admite expressamente tanto a prestação direta quanto a prestação mediante concessão, cabendo ao titular formular a respectiva política pública e observar as regras nacionais de saneamento.</w:t>
      </w:r>
    </w:p>
    <w:p w:rsidR="00B36AE9" w:rsidRPr="00B36AE9" w:rsidP="00B36AE9" w14:paraId="699505F5" w14:textId="77777777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B36AE9">
        <w:rPr>
          <w:rFonts w:ascii="Courier New" w:hAnsi="Courier New" w:cs="Courier New"/>
          <w:sz w:val="22"/>
          <w:szCs w:val="22"/>
        </w:rPr>
        <w:t>Assim, a legislação federal não estabelece a obrigatoriedade de privatização dos serviços municipais, reconhecendo a prestação direta como modalidade juridicamente admitida.</w:t>
      </w:r>
    </w:p>
    <w:p w:rsidR="00B36AE9" w:rsidRPr="00B36AE9" w:rsidP="00B36AE9" w14:paraId="01BE396A" w14:textId="77777777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B36AE9">
        <w:rPr>
          <w:rFonts w:ascii="Courier New" w:hAnsi="Courier New" w:cs="Courier New"/>
          <w:sz w:val="22"/>
          <w:szCs w:val="22"/>
        </w:rPr>
        <w:t>No âmbito municipal, o art. 2º da Lei Complementar nº 403/2025 identifica expressamente o SAAE como entidade autárquica integrante da Administração Indireta de Mogi Mirim, demonstrando que sua natureza pública constitui característica atual da organização administrativa municipal.</w:t>
      </w:r>
    </w:p>
    <w:p w:rsidR="00B36AE9" w:rsidRPr="00B36AE9" w:rsidP="00B36AE9" w14:paraId="083F35EE" w14:textId="77777777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B36AE9">
        <w:rPr>
          <w:rFonts w:ascii="Courier New" w:hAnsi="Courier New" w:cs="Courier New"/>
          <w:sz w:val="22"/>
          <w:szCs w:val="22"/>
        </w:rPr>
        <w:t>A própria Lei Orgânica vigente, em seu art. 199, reconhece a existência da autarquia municipal encarregada dos serviços de água e esgoto, determinando que possua plano diretor aprovado pela Câmara Municipal. Entretanto, o Projeto de Emenda Revisional nº 1/2026 não reproduz expressamente essa referência institucional ao SAAE, limitando-se, nos arts. 212 a 215, a estabelecer disposições gerais sobre saneamento básico.</w:t>
      </w:r>
    </w:p>
    <w:p w:rsidR="00B36AE9" w:rsidRPr="00B36AE9" w:rsidP="00B36AE9" w14:paraId="5B490CB7" w14:textId="77777777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B36AE9">
        <w:rPr>
          <w:rFonts w:ascii="Courier New" w:hAnsi="Courier New" w:cs="Courier New"/>
          <w:sz w:val="22"/>
          <w:szCs w:val="22"/>
        </w:rPr>
        <w:t xml:space="preserve">A inclusão proposta busca, portanto, conferir continuidade à proteção da autarquia no texto orgânico, impedindo que sua natureza jurídica e sua responsabilidade pelos serviços públicos atualmente </w:t>
      </w:r>
      <w:r w:rsidRPr="00B36AE9">
        <w:rPr>
          <w:rFonts w:ascii="Courier New" w:hAnsi="Courier New" w:cs="Courier New"/>
          <w:sz w:val="22"/>
          <w:szCs w:val="22"/>
        </w:rPr>
        <w:t>prestados sejam desconsideradas no processo de reorganização normativa do Município.</w:t>
      </w:r>
    </w:p>
    <w:p w:rsidR="00B36AE9" w:rsidRPr="00B36AE9" w:rsidP="00B36AE9" w14:paraId="04F84B90" w14:textId="77777777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B36AE9">
        <w:rPr>
          <w:rFonts w:ascii="Courier New" w:hAnsi="Courier New" w:cs="Courier New"/>
          <w:sz w:val="22"/>
          <w:szCs w:val="22"/>
        </w:rPr>
        <w:t>A medida também encontra fundamento em legislação municipal já existente. O art. 6º da Lei Complementar nº 381/2024, que instituiu o Plano Municipal de Saneamento Básico, estabelece expressamente que os serviços de saneamento somente poderão ser concedidos à iniciativa privada mediante consulta popular pelo instrumento de plebiscito.</w:t>
      </w:r>
    </w:p>
    <w:p w:rsidR="00B36AE9" w:rsidRPr="00B36AE9" w:rsidP="00B36AE9" w14:paraId="3988F8E6" w14:textId="77777777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B36AE9">
        <w:rPr>
          <w:rFonts w:ascii="Courier New" w:hAnsi="Courier New" w:cs="Courier New"/>
          <w:sz w:val="22"/>
          <w:szCs w:val="22"/>
        </w:rPr>
        <w:t>O parágrafo único do mesmo dispositivo determina que, antes da convocação da consulta popular, a proposta de concessão e os respectivos estudos técnicos e econômicos sejam submetidos à análise e ao parecer conclusivo do Conselho Gestor de Saneamento Ambiental, assegurando procedimentos de consulta e audiências públicas.</w:t>
      </w:r>
    </w:p>
    <w:p w:rsidR="00B36AE9" w:rsidRPr="00B36AE9" w:rsidP="00B36AE9" w14:paraId="5454209B" w14:textId="77777777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B36AE9">
        <w:rPr>
          <w:rFonts w:ascii="Courier New" w:hAnsi="Courier New" w:cs="Courier New"/>
          <w:sz w:val="22"/>
          <w:szCs w:val="22"/>
        </w:rPr>
        <w:t>Desse modo, a presente Emenda não introduz exigência inteiramente nova no ordenamento municipal. Sua finalidade consiste em incorporar à Lei Orgânica uma garantia de participação popular já estabelecida pela legislação complementar vigente, conferindo-lhe maior estabilidade normativa e reforçando sua observância em eventuais propostas de delegação dos serviços.</w:t>
      </w:r>
    </w:p>
    <w:p w:rsidR="00B36AE9" w:rsidRPr="00B36AE9" w:rsidP="00B36AE9" w14:paraId="03D8A739" w14:textId="77777777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B36AE9">
        <w:rPr>
          <w:rFonts w:ascii="Courier New" w:hAnsi="Courier New" w:cs="Courier New"/>
          <w:sz w:val="22"/>
          <w:szCs w:val="22"/>
        </w:rPr>
        <w:t>A exigência de plebiscito encontra fundamento nos arts. 1º, parágrafo único, e 14, inciso I, da Constituição Federal, que reconhecem o exercício direto da soberania popular, bem como no art. 6º da Lei Federal nº 9.709/1998, segundo o qual plebiscitos e referendos relativos a questões de competência municipal serão convocados em conformidade com a respectiva Lei Orgânica.</w:t>
      </w:r>
    </w:p>
    <w:p w:rsidR="00B36AE9" w:rsidRPr="00B36AE9" w:rsidP="00B36AE9" w14:paraId="291810C0" w14:textId="77777777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B36AE9">
        <w:rPr>
          <w:rFonts w:ascii="Courier New" w:hAnsi="Courier New" w:cs="Courier New"/>
          <w:sz w:val="22"/>
          <w:szCs w:val="22"/>
        </w:rPr>
        <w:t>A proposta também respeita o art. 14, § 12, da Constituição Federal, que exige aprovação das consultas populares locais pelas Câmaras Municipais e estabelece condições para seu encaminhamento à Justiça Eleitoral, observadas as normas eleitorais aplicáveis.</w:t>
      </w:r>
    </w:p>
    <w:p w:rsidR="00B36AE9" w:rsidRPr="00B36AE9" w:rsidP="00B36AE9" w14:paraId="1B662A00" w14:textId="77777777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B36AE9">
        <w:rPr>
          <w:rFonts w:ascii="Courier New" w:hAnsi="Courier New" w:cs="Courier New"/>
          <w:sz w:val="22"/>
          <w:szCs w:val="22"/>
        </w:rPr>
        <w:t>Quanto à jurisprudência, o Supremo Tribunal Federal, no julgamento da ADI nº 1.842/RJ, reconheceu a importância da autonomia municipal na organização dos serviços de saneamento básico, ressalvando que, nas hipóteses de interesse comum metropolitano, a titularidade e o poder decisório devem observar a participação conjunta dos entes federativos competentes.</w:t>
      </w:r>
    </w:p>
    <w:p w:rsidR="00B36AE9" w:rsidRPr="00B36AE9" w:rsidP="00B36AE9" w14:paraId="1925085F" w14:textId="77777777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B36AE9">
        <w:rPr>
          <w:rFonts w:ascii="Courier New" w:hAnsi="Courier New" w:cs="Courier New"/>
          <w:sz w:val="22"/>
          <w:szCs w:val="22"/>
        </w:rPr>
        <w:t xml:space="preserve">Posteriormente, no julgamento das </w:t>
      </w:r>
      <w:r w:rsidRPr="00B36AE9">
        <w:rPr>
          <w:rFonts w:ascii="Courier New" w:hAnsi="Courier New" w:cs="Courier New"/>
          <w:sz w:val="22"/>
          <w:szCs w:val="22"/>
        </w:rPr>
        <w:t>ADIs</w:t>
      </w:r>
      <w:r w:rsidRPr="00B36AE9">
        <w:rPr>
          <w:rFonts w:ascii="Courier New" w:hAnsi="Courier New" w:cs="Courier New"/>
          <w:sz w:val="22"/>
          <w:szCs w:val="22"/>
        </w:rPr>
        <w:t xml:space="preserve"> nº 6.492, 6.536, 6.583 e 6.882, concluído em 2 de dezembro de 2021, o Supremo Tribunal Federal reconheceu a constitucionalidade do Novo Marco Legal do Saneamento Básico, reafirmando a validade das normas nacionais que disciplinam a organização, a regulação e a prestação dos serviços, inclusive em âmbito regional.</w:t>
      </w:r>
    </w:p>
    <w:p w:rsidR="00B36AE9" w:rsidRPr="00B36AE9" w:rsidP="00B36AE9" w14:paraId="036D742F" w14:textId="77777777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B36AE9">
        <w:rPr>
          <w:rFonts w:ascii="Courier New" w:hAnsi="Courier New" w:cs="Courier New"/>
          <w:sz w:val="22"/>
          <w:szCs w:val="22"/>
        </w:rPr>
        <w:t xml:space="preserve">Esses precedentes não instituem proibição judicial de privatização nem validam especificamente a presente Emenda, mas demonstram a necessidade de harmonizar a autonomia municipal com a legislação </w:t>
      </w:r>
      <w:r w:rsidRPr="00B36AE9">
        <w:rPr>
          <w:rFonts w:ascii="Courier New" w:hAnsi="Courier New" w:cs="Courier New"/>
          <w:sz w:val="22"/>
          <w:szCs w:val="22"/>
        </w:rPr>
        <w:t>federal e os regimes de titularidade compartilhada, quando aplicáveis, conforme expressamente previsto na redação proposta.</w:t>
      </w:r>
    </w:p>
    <w:p w:rsidR="00B36AE9" w:rsidRPr="00B36AE9" w:rsidP="00B36AE9" w14:paraId="6D77717A" w14:textId="77777777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B36AE9">
        <w:rPr>
          <w:rFonts w:ascii="Courier New" w:hAnsi="Courier New" w:cs="Courier New"/>
          <w:sz w:val="22"/>
          <w:szCs w:val="22"/>
        </w:rPr>
        <w:t xml:space="preserve">Também se mostra indispensável respeitar a situação jurídica dos contratos existentes. Em Mogi Mirim, parte dos serviços de esgotamento sanitário já foi objeto de concessão à empresa </w:t>
      </w:r>
      <w:r w:rsidRPr="00B36AE9">
        <w:rPr>
          <w:rFonts w:ascii="Courier New" w:hAnsi="Courier New" w:cs="Courier New"/>
          <w:sz w:val="22"/>
          <w:szCs w:val="22"/>
        </w:rPr>
        <w:t>SESAMM</w:t>
      </w:r>
      <w:r w:rsidRPr="00B36AE9">
        <w:rPr>
          <w:rFonts w:ascii="Courier New" w:hAnsi="Courier New" w:cs="Courier New"/>
          <w:sz w:val="22"/>
          <w:szCs w:val="22"/>
        </w:rPr>
        <w:t>, conforme informações divulgadas pelo próprio SAAE e pela agência reguladora ARES-</w:t>
      </w:r>
      <w:r w:rsidRPr="00B36AE9">
        <w:rPr>
          <w:rFonts w:ascii="Courier New" w:hAnsi="Courier New" w:cs="Courier New"/>
          <w:sz w:val="22"/>
          <w:szCs w:val="22"/>
        </w:rPr>
        <w:t>PCJ</w:t>
      </w:r>
      <w:r w:rsidRPr="00B36AE9">
        <w:rPr>
          <w:rFonts w:ascii="Courier New" w:hAnsi="Courier New" w:cs="Courier New"/>
          <w:sz w:val="22"/>
          <w:szCs w:val="22"/>
        </w:rPr>
        <w:t>.</w:t>
      </w:r>
    </w:p>
    <w:p w:rsidR="00B36AE9" w:rsidRPr="00B36AE9" w:rsidP="00B36AE9" w14:paraId="05DF3B6B" w14:textId="77777777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B36AE9">
        <w:rPr>
          <w:rFonts w:ascii="Courier New" w:hAnsi="Courier New" w:cs="Courier New"/>
          <w:sz w:val="22"/>
          <w:szCs w:val="22"/>
        </w:rPr>
        <w:t>Por essa razão, a Emenda preserva expressamente os contratos de concessão celebrados anteriormente à sua promulgação, evitando interferência automática em relações contratuais preexistentes e concentrando sua disciplina sobre futuras decisões de privatização ou delegação dos serviços atualmente prestados diretamente pela autarquia.</w:t>
      </w:r>
    </w:p>
    <w:p w:rsidR="00B36AE9" w:rsidRPr="00B36AE9" w:rsidP="00B36AE9" w14:paraId="2A4F0F99" w14:textId="77777777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B36AE9">
        <w:rPr>
          <w:rFonts w:ascii="Courier New" w:hAnsi="Courier New" w:cs="Courier New"/>
          <w:sz w:val="22"/>
          <w:szCs w:val="22"/>
        </w:rPr>
        <w:t>A proposta igualmente não impede a contratação de obras, equipamentos, tecnologia e serviços instrumentais necessários à manutenção e à modernização do SAAE, desde que tais contratações não constituam transferência da prestação dos serviços públicos sem a observância das garantias previstas.</w:t>
      </w:r>
    </w:p>
    <w:p w:rsidR="00B36AE9" w:rsidRPr="00B36AE9" w:rsidP="00B36AE9" w14:paraId="0B2E510B" w14:textId="77777777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B36AE9">
        <w:rPr>
          <w:rFonts w:ascii="Courier New" w:hAnsi="Courier New" w:cs="Courier New"/>
          <w:sz w:val="22"/>
          <w:szCs w:val="22"/>
        </w:rPr>
        <w:t>Importa destacar que a preservação do caráter público do SAAE não afasta os deveres de eficiência, sustentabilidade econômico-financeira, planejamento, transparência e universalização do acesso estabelecidos pela legislação federal. Ao contrário, a prestação pública deverá observar integralmente essas exigências, assegurando continuidade, qualidade e atendimento adequado à população.</w:t>
      </w:r>
    </w:p>
    <w:p w:rsidR="00B36AE9" w:rsidRPr="00B36AE9" w:rsidP="00B36AE9" w14:paraId="78CFC076" w14:textId="77777777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B36AE9">
        <w:rPr>
          <w:rFonts w:ascii="Courier New" w:hAnsi="Courier New" w:cs="Courier New"/>
          <w:sz w:val="22"/>
          <w:szCs w:val="22"/>
        </w:rPr>
        <w:t>A manutenção de uma autarquia pública responsável pelo abastecimento de água e pela coleta de esgotos constitui escolha de organização administrativa voltada à preservação de um serviço essencial, enquanto a exigência de consulta popular assegura que eventuais propostas de alteração substancial de seu modelo de prestação sejam submetidas ao conhecimento e à participação direta da população.</w:t>
      </w:r>
    </w:p>
    <w:p w:rsidR="008871E7" w:rsidRPr="00852ED9" w:rsidP="00B36AE9" w14:paraId="5C06C57F" w14:textId="7F2C75EF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B36AE9">
        <w:rPr>
          <w:rFonts w:ascii="Courier New" w:hAnsi="Courier New" w:cs="Courier New"/>
          <w:sz w:val="22"/>
          <w:szCs w:val="22"/>
        </w:rPr>
        <w:t>Dessa forma, a presente Emenda busca preservar o SAAE como patrimônio institucional do Município, assegurar maior estabilidade ao modelo público de prestação dos serviços e incorporar à Lei Orgânica garantias de participação democrática já reconhecidas pela legislação municipal, respeitando a Constituição Federal, o Marco Legal do Saneamento Básico e os contratos existentes.</w:t>
      </w:r>
    </w:p>
    <w:sectPr w:rsidSect="002D25FF">
      <w:headerReference w:type="default" r:id="rId6"/>
      <w:footerReference w:type="default" r:id="rId7"/>
      <w:pgSz w:w="11906" w:h="16838" w:code="9"/>
      <w:pgMar w:top="1985" w:right="1134" w:bottom="1134" w:left="1701" w:header="680" w:footer="284" w:gutter="0"/>
      <w:pgNumType w:start="1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mbria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Courier New" w:hAnsi="Courier New" w:cs="Courier New"/>
        <w:color w:val="171717" w:themeColor="background2" w:themeShade="1A"/>
        <w:sz w:val="18"/>
        <w:szCs w:val="18"/>
      </w:rPr>
      <w:id w:val="-1695989768"/>
      <w:docPartObj>
        <w:docPartGallery w:val="Page Numbers (Bottom of Page)"/>
        <w:docPartUnique/>
      </w:docPartObj>
    </w:sdtPr>
    <w:sdtContent>
      <w:sdt>
        <w:sdtPr>
          <w:rPr>
            <w:rFonts w:ascii="Courier New" w:hAnsi="Courier New" w:cs="Courier New"/>
            <w:color w:val="171717" w:themeColor="background2" w:themeShade="1A"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Content>
          <w:p w:rsidR="00245209" w:rsidRPr="00962D1C" w:rsidP="00962D1C" w14:paraId="6F3CD22F" w14:textId="1537432C">
            <w:pPr>
              <w:pStyle w:val="Footer"/>
              <w:jc w:val="right"/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</w:pPr>
            <w:r w:rsidRPr="00962D1C">
              <w:rPr>
                <w:rFonts w:ascii="Courier New" w:hAnsi="Courier New" w:cs="Courier New"/>
                <w:color w:val="171717" w:themeColor="background2" w:themeShade="1A"/>
                <w:sz w:val="18"/>
                <w:szCs w:val="18"/>
              </w:rPr>
              <w:t xml:space="preserve">Página </w: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begin"/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instrText>PAGE</w:instrTex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separate"/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t>5</w: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end"/>
            </w:r>
            <w:r w:rsidRPr="00962D1C">
              <w:rPr>
                <w:rFonts w:ascii="Courier New" w:hAnsi="Courier New" w:cs="Courier New"/>
                <w:color w:val="171717" w:themeColor="background2" w:themeShade="1A"/>
                <w:sz w:val="18"/>
                <w:szCs w:val="18"/>
              </w:rPr>
              <w:t xml:space="preserve"> de </w: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begin"/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instrText>NUMPAGES</w:instrTex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separate"/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t>5</w: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end"/>
            </w:r>
          </w:p>
        </w:sdtContent>
      </w:sdt>
    </w:sdtContent>
  </w:sdt>
  <w:p w:rsidR="007E3DC3" w:rsidRPr="00962D1C" w:rsidP="007E3DC3" w14:paraId="3F9E1FE5" w14:textId="77777777">
    <w:pPr>
      <w:pStyle w:val="Footer"/>
      <w:rPr>
        <w:rFonts w:ascii="Courier New" w:hAnsi="Courier New" w:cs="Courier New"/>
        <w:color w:val="171717" w:themeColor="background2" w:themeShade="1A"/>
        <w:sz w:val="18"/>
        <w:szCs w:val="18"/>
      </w:rPr>
    </w:pPr>
    <w:r w:rsidRPr="00962D1C">
      <w:rPr>
        <w:rFonts w:ascii="Courier New" w:hAnsi="Courier New" w:cs="Courier New"/>
        <w:color w:val="171717" w:themeColor="background2" w:themeShade="1A"/>
        <w:sz w:val="18"/>
        <w:szCs w:val="18"/>
      </w:rPr>
      <w:t>Rua Dr. Jose Alves, nº 129, centro, Mogi Mirim/SP</w:t>
    </w:r>
  </w:p>
  <w:p w:rsidR="007E3DC3" w:rsidRPr="00962D1C" w:rsidP="007E3DC3" w14:paraId="26C4E298" w14:textId="5BA8A1D3">
    <w:pPr>
      <w:pStyle w:val="Footer"/>
      <w:rPr>
        <w:rFonts w:ascii="Courier New" w:hAnsi="Courier New" w:cs="Courier New"/>
        <w:color w:val="171717" w:themeColor="background2" w:themeShade="1A"/>
        <w:sz w:val="18"/>
        <w:szCs w:val="18"/>
      </w:rPr>
    </w:pPr>
    <w:r w:rsidRPr="00962D1C">
      <w:rPr>
        <w:rFonts w:ascii="Courier New" w:hAnsi="Courier New" w:cs="Courier New"/>
        <w:color w:val="171717" w:themeColor="background2" w:themeShade="1A"/>
        <w:sz w:val="18"/>
        <w:szCs w:val="18"/>
      </w:rPr>
      <w:t>Fone (019) 3814.1200 – Fax: (019) 3814.1224.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38BB" w:rsidRPr="007256BA" w:rsidP="007F648B" w14:paraId="50644342" w14:textId="77777777">
    <w:pPr>
      <w:pStyle w:val="Header"/>
      <w:tabs>
        <w:tab w:val="clear" w:pos="4419"/>
        <w:tab w:val="clear" w:pos="8838"/>
      </w:tabs>
      <w:ind w:left="2268"/>
      <w:jc w:val="center"/>
      <w:rPr>
        <w:rFonts w:ascii="Courier New" w:hAnsi="Courier New" w:cs="Courier New"/>
        <w:b/>
        <w:sz w:val="34"/>
      </w:rPr>
    </w:pPr>
    <w:r w:rsidRPr="007256BA">
      <w:rPr>
        <w:rFonts w:ascii="Courier New" w:hAnsi="Courier New" w:cs="Courier New"/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76790</wp:posOffset>
          </wp:positionH>
          <wp:positionV relativeFrom="paragraph">
            <wp:posOffset>-240609</wp:posOffset>
          </wp:positionV>
          <wp:extent cx="1211720" cy="882061"/>
          <wp:effectExtent l="0" t="0" r="7620" b="0"/>
          <wp:wrapNone/>
          <wp:docPr id="1255320224" name="Imagem 1255320224" descr="brasao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2403093" name="Picture 1" descr="brasaomm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211720" cy="8820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256BA">
      <w:rPr>
        <w:rFonts w:ascii="Courier New" w:hAnsi="Courier New" w:cs="Courier New"/>
        <w:b/>
        <w:sz w:val="34"/>
      </w:rPr>
      <w:t>CÂMARA MUNICIPAL DE MOGI MIRIM</w:t>
    </w:r>
  </w:p>
  <w:p w:rsidR="00B638BB" w:rsidRPr="0057381F" w:rsidP="007F648B" w14:paraId="31751651" w14:textId="77777777">
    <w:pPr>
      <w:pStyle w:val="Header"/>
      <w:tabs>
        <w:tab w:val="clear" w:pos="4419"/>
      </w:tabs>
      <w:ind w:left="2268"/>
      <w:jc w:val="center"/>
      <w:rPr>
        <w:rFonts w:ascii="Courier New" w:hAnsi="Courier New" w:cs="Courier New"/>
        <w:sz w:val="32"/>
        <w:szCs w:val="32"/>
      </w:rPr>
    </w:pPr>
    <w:r w:rsidRPr="0057381F">
      <w:rPr>
        <w:rFonts w:ascii="Courier New" w:hAnsi="Courier New" w:cs="Courier New"/>
        <w:b/>
        <w:bCs/>
        <w:sz w:val="28"/>
        <w:szCs w:val="28"/>
      </w:rPr>
      <w:t>GABINETE DO VEREADOR ERNANI GRAGNANELLO</w:t>
    </w:r>
  </w:p>
  <w:p w:rsidR="00D878CD" w:rsidRPr="00B638BB" w:rsidP="00B638BB" w14:paraId="1A742442" w14:textId="6FACB9E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8573283"/>
    <w:multiLevelType w:val="multilevel"/>
    <w:tmpl w:val="6F78DB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F04131F"/>
    <w:multiLevelType w:val="hybridMultilevel"/>
    <w:tmpl w:val="68E0CD80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548672C1"/>
    <w:multiLevelType w:val="multilevel"/>
    <w:tmpl w:val="597EB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5F1287A"/>
    <w:multiLevelType w:val="multilevel"/>
    <w:tmpl w:val="0CEAD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2556B7F"/>
    <w:multiLevelType w:val="hybridMultilevel"/>
    <w:tmpl w:val="5B3C921A"/>
    <w:lvl w:ilvl="0">
      <w:start w:val="1"/>
      <w:numFmt w:val="decimal"/>
      <w:lvlText w:val="%1)"/>
      <w:lvlJc w:val="left"/>
      <w:pPr>
        <w:ind w:left="1428" w:hanging="360"/>
      </w:pPr>
      <w:rPr>
        <w:b/>
        <w:bCs/>
      </w:rPr>
    </w:lvl>
    <w:lvl w:ilvl="1" w:tentative="1">
      <w:start w:val="1"/>
      <w:numFmt w:val="lowerLetter"/>
      <w:lvlText w:val="%2."/>
      <w:lvlJc w:val="left"/>
      <w:pPr>
        <w:ind w:left="2148" w:hanging="360"/>
      </w:pPr>
    </w:lvl>
    <w:lvl w:ilvl="2" w:tentative="1">
      <w:start w:val="1"/>
      <w:numFmt w:val="lowerRoman"/>
      <w:lvlText w:val="%3."/>
      <w:lvlJc w:val="right"/>
      <w:pPr>
        <w:ind w:left="2868" w:hanging="180"/>
      </w:pPr>
    </w:lvl>
    <w:lvl w:ilvl="3" w:tentative="1">
      <w:start w:val="1"/>
      <w:numFmt w:val="decimal"/>
      <w:lvlText w:val="%4."/>
      <w:lvlJc w:val="left"/>
      <w:pPr>
        <w:ind w:left="3588" w:hanging="360"/>
      </w:pPr>
    </w:lvl>
    <w:lvl w:ilvl="4" w:tentative="1">
      <w:start w:val="1"/>
      <w:numFmt w:val="lowerLetter"/>
      <w:lvlText w:val="%5."/>
      <w:lvlJc w:val="left"/>
      <w:pPr>
        <w:ind w:left="4308" w:hanging="360"/>
      </w:pPr>
    </w:lvl>
    <w:lvl w:ilvl="5" w:tentative="1">
      <w:start w:val="1"/>
      <w:numFmt w:val="lowerRoman"/>
      <w:lvlText w:val="%6."/>
      <w:lvlJc w:val="right"/>
      <w:pPr>
        <w:ind w:left="5028" w:hanging="180"/>
      </w:pPr>
    </w:lvl>
    <w:lvl w:ilvl="6" w:tentative="1">
      <w:start w:val="1"/>
      <w:numFmt w:val="decimal"/>
      <w:lvlText w:val="%7."/>
      <w:lvlJc w:val="left"/>
      <w:pPr>
        <w:ind w:left="5748" w:hanging="360"/>
      </w:pPr>
    </w:lvl>
    <w:lvl w:ilvl="7" w:tentative="1">
      <w:start w:val="1"/>
      <w:numFmt w:val="lowerLetter"/>
      <w:lvlText w:val="%8."/>
      <w:lvlJc w:val="left"/>
      <w:pPr>
        <w:ind w:left="6468" w:hanging="360"/>
      </w:pPr>
    </w:lvl>
    <w:lvl w:ilvl="8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>
    <w:nsid w:val="7D3B0B77"/>
    <w:multiLevelType w:val="multilevel"/>
    <w:tmpl w:val="0C78D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D6C6EE3"/>
    <w:multiLevelType w:val="hybridMultilevel"/>
    <w:tmpl w:val="8CCABB6C"/>
    <w:lvl w:ilvl="0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3"/>
  </w:num>
  <w:num w:numId="4">
    <w:abstractNumId w:val="2"/>
  </w:num>
  <w:num w:numId="5">
    <w:abstractNumId w:val="0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8CD"/>
    <w:rsid w:val="00020022"/>
    <w:rsid w:val="00031FEB"/>
    <w:rsid w:val="00037523"/>
    <w:rsid w:val="000401AF"/>
    <w:rsid w:val="00040D21"/>
    <w:rsid w:val="000428DB"/>
    <w:rsid w:val="00052158"/>
    <w:rsid w:val="00056D9C"/>
    <w:rsid w:val="00076553"/>
    <w:rsid w:val="000958A6"/>
    <w:rsid w:val="000A6F2E"/>
    <w:rsid w:val="000B08D8"/>
    <w:rsid w:val="000B4EDA"/>
    <w:rsid w:val="000B5735"/>
    <w:rsid w:val="000C7B42"/>
    <w:rsid w:val="000D145E"/>
    <w:rsid w:val="000D1F01"/>
    <w:rsid w:val="000E658D"/>
    <w:rsid w:val="000F672F"/>
    <w:rsid w:val="001039ED"/>
    <w:rsid w:val="00105020"/>
    <w:rsid w:val="00106142"/>
    <w:rsid w:val="00123E53"/>
    <w:rsid w:val="00124163"/>
    <w:rsid w:val="001277C1"/>
    <w:rsid w:val="001438A8"/>
    <w:rsid w:val="00153665"/>
    <w:rsid w:val="00154A5F"/>
    <w:rsid w:val="00156CD3"/>
    <w:rsid w:val="00156E23"/>
    <w:rsid w:val="001610A9"/>
    <w:rsid w:val="0016556C"/>
    <w:rsid w:val="00176E7E"/>
    <w:rsid w:val="00181152"/>
    <w:rsid w:val="00182771"/>
    <w:rsid w:val="00183AF0"/>
    <w:rsid w:val="001949B0"/>
    <w:rsid w:val="001959EF"/>
    <w:rsid w:val="001A39DE"/>
    <w:rsid w:val="001B42BA"/>
    <w:rsid w:val="001C3AA6"/>
    <w:rsid w:val="00200F1C"/>
    <w:rsid w:val="00217E08"/>
    <w:rsid w:val="002210E8"/>
    <w:rsid w:val="00231EB9"/>
    <w:rsid w:val="002403E6"/>
    <w:rsid w:val="00241452"/>
    <w:rsid w:val="0024425A"/>
    <w:rsid w:val="00245209"/>
    <w:rsid w:val="00257241"/>
    <w:rsid w:val="00274563"/>
    <w:rsid w:val="0027575E"/>
    <w:rsid w:val="00296637"/>
    <w:rsid w:val="00296EA6"/>
    <w:rsid w:val="00297907"/>
    <w:rsid w:val="002A71BE"/>
    <w:rsid w:val="002B2E59"/>
    <w:rsid w:val="002B35DF"/>
    <w:rsid w:val="002B572E"/>
    <w:rsid w:val="002C14C0"/>
    <w:rsid w:val="002C4498"/>
    <w:rsid w:val="002D1B41"/>
    <w:rsid w:val="002D25FF"/>
    <w:rsid w:val="002D2C82"/>
    <w:rsid w:val="002D55C4"/>
    <w:rsid w:val="002D68CE"/>
    <w:rsid w:val="002F3132"/>
    <w:rsid w:val="002F76C7"/>
    <w:rsid w:val="00307AFD"/>
    <w:rsid w:val="003226F4"/>
    <w:rsid w:val="00327030"/>
    <w:rsid w:val="003274BA"/>
    <w:rsid w:val="00332D04"/>
    <w:rsid w:val="0035352F"/>
    <w:rsid w:val="0035370A"/>
    <w:rsid w:val="00355277"/>
    <w:rsid w:val="00372A35"/>
    <w:rsid w:val="00374AF7"/>
    <w:rsid w:val="00386202"/>
    <w:rsid w:val="003B11A7"/>
    <w:rsid w:val="003B578C"/>
    <w:rsid w:val="003C411C"/>
    <w:rsid w:val="003C472E"/>
    <w:rsid w:val="003C4E89"/>
    <w:rsid w:val="003C62C3"/>
    <w:rsid w:val="003C76C6"/>
    <w:rsid w:val="003D352F"/>
    <w:rsid w:val="003D5A48"/>
    <w:rsid w:val="003E0416"/>
    <w:rsid w:val="003E2852"/>
    <w:rsid w:val="003E7309"/>
    <w:rsid w:val="00401038"/>
    <w:rsid w:val="00402140"/>
    <w:rsid w:val="00416282"/>
    <w:rsid w:val="00426E1A"/>
    <w:rsid w:val="004401C1"/>
    <w:rsid w:val="00452524"/>
    <w:rsid w:val="004622A3"/>
    <w:rsid w:val="00462DD5"/>
    <w:rsid w:val="00465074"/>
    <w:rsid w:val="00466795"/>
    <w:rsid w:val="00473BA2"/>
    <w:rsid w:val="004776B5"/>
    <w:rsid w:val="00481B75"/>
    <w:rsid w:val="004A38C7"/>
    <w:rsid w:val="004C4CD8"/>
    <w:rsid w:val="004C7ED8"/>
    <w:rsid w:val="004D0063"/>
    <w:rsid w:val="004D2029"/>
    <w:rsid w:val="004E4ADA"/>
    <w:rsid w:val="004E6D12"/>
    <w:rsid w:val="004F1BCE"/>
    <w:rsid w:val="004F7A40"/>
    <w:rsid w:val="00507EC7"/>
    <w:rsid w:val="00510DC1"/>
    <w:rsid w:val="00517C44"/>
    <w:rsid w:val="00521BE4"/>
    <w:rsid w:val="005324C0"/>
    <w:rsid w:val="00537FEA"/>
    <w:rsid w:val="00541302"/>
    <w:rsid w:val="005433F5"/>
    <w:rsid w:val="005446F3"/>
    <w:rsid w:val="005507A9"/>
    <w:rsid w:val="00560B86"/>
    <w:rsid w:val="00563BAB"/>
    <w:rsid w:val="00564B9E"/>
    <w:rsid w:val="0057381F"/>
    <w:rsid w:val="00574581"/>
    <w:rsid w:val="0059377F"/>
    <w:rsid w:val="005C5121"/>
    <w:rsid w:val="005C6926"/>
    <w:rsid w:val="005D014E"/>
    <w:rsid w:val="005D1A64"/>
    <w:rsid w:val="005E2E1F"/>
    <w:rsid w:val="005E33D2"/>
    <w:rsid w:val="005F3AEA"/>
    <w:rsid w:val="005F4015"/>
    <w:rsid w:val="005F4D88"/>
    <w:rsid w:val="00605473"/>
    <w:rsid w:val="00606FAD"/>
    <w:rsid w:val="00612EC2"/>
    <w:rsid w:val="006241C5"/>
    <w:rsid w:val="006267C8"/>
    <w:rsid w:val="006319D1"/>
    <w:rsid w:val="00634822"/>
    <w:rsid w:val="00634D61"/>
    <w:rsid w:val="00642056"/>
    <w:rsid w:val="006516EC"/>
    <w:rsid w:val="00657DB6"/>
    <w:rsid w:val="0066388F"/>
    <w:rsid w:val="0068334C"/>
    <w:rsid w:val="0068590A"/>
    <w:rsid w:val="006A3E9F"/>
    <w:rsid w:val="006B2CD0"/>
    <w:rsid w:val="006B701B"/>
    <w:rsid w:val="006C3627"/>
    <w:rsid w:val="006C51EA"/>
    <w:rsid w:val="006C6A29"/>
    <w:rsid w:val="006D01AE"/>
    <w:rsid w:val="006D31CD"/>
    <w:rsid w:val="006D44EA"/>
    <w:rsid w:val="006D56EE"/>
    <w:rsid w:val="006E31FD"/>
    <w:rsid w:val="006F1586"/>
    <w:rsid w:val="006F3588"/>
    <w:rsid w:val="00702152"/>
    <w:rsid w:val="00704898"/>
    <w:rsid w:val="007127C8"/>
    <w:rsid w:val="00720772"/>
    <w:rsid w:val="007214E8"/>
    <w:rsid w:val="00721E52"/>
    <w:rsid w:val="007256BA"/>
    <w:rsid w:val="00727359"/>
    <w:rsid w:val="007273FD"/>
    <w:rsid w:val="00731990"/>
    <w:rsid w:val="00744EB9"/>
    <w:rsid w:val="00744EFF"/>
    <w:rsid w:val="00745FE1"/>
    <w:rsid w:val="00747418"/>
    <w:rsid w:val="007571D2"/>
    <w:rsid w:val="00774430"/>
    <w:rsid w:val="00774A63"/>
    <w:rsid w:val="0078781A"/>
    <w:rsid w:val="00792F39"/>
    <w:rsid w:val="007A3234"/>
    <w:rsid w:val="007A702D"/>
    <w:rsid w:val="007B2FD5"/>
    <w:rsid w:val="007B3AF8"/>
    <w:rsid w:val="007B44DD"/>
    <w:rsid w:val="007B73D0"/>
    <w:rsid w:val="007B79DD"/>
    <w:rsid w:val="007C7F52"/>
    <w:rsid w:val="007E3DC3"/>
    <w:rsid w:val="007E7AEB"/>
    <w:rsid w:val="007F4EEB"/>
    <w:rsid w:val="007F5BB3"/>
    <w:rsid w:val="007F648B"/>
    <w:rsid w:val="008060C7"/>
    <w:rsid w:val="00806639"/>
    <w:rsid w:val="00815F08"/>
    <w:rsid w:val="00826BB5"/>
    <w:rsid w:val="00843873"/>
    <w:rsid w:val="0084452E"/>
    <w:rsid w:val="00852ED9"/>
    <w:rsid w:val="008577CA"/>
    <w:rsid w:val="00863FC7"/>
    <w:rsid w:val="00873FF4"/>
    <w:rsid w:val="008842AF"/>
    <w:rsid w:val="008844E4"/>
    <w:rsid w:val="008871E7"/>
    <w:rsid w:val="00892F20"/>
    <w:rsid w:val="008A0234"/>
    <w:rsid w:val="008A21BD"/>
    <w:rsid w:val="008A26DA"/>
    <w:rsid w:val="008A7123"/>
    <w:rsid w:val="008C2FCC"/>
    <w:rsid w:val="008C42BB"/>
    <w:rsid w:val="008D10B2"/>
    <w:rsid w:val="008E2705"/>
    <w:rsid w:val="008F62DF"/>
    <w:rsid w:val="00923162"/>
    <w:rsid w:val="0094153C"/>
    <w:rsid w:val="00954EDC"/>
    <w:rsid w:val="00962D1C"/>
    <w:rsid w:val="00971146"/>
    <w:rsid w:val="00973DE8"/>
    <w:rsid w:val="00983A31"/>
    <w:rsid w:val="00985CA5"/>
    <w:rsid w:val="00986774"/>
    <w:rsid w:val="00991752"/>
    <w:rsid w:val="0099396E"/>
    <w:rsid w:val="00996493"/>
    <w:rsid w:val="009974FC"/>
    <w:rsid w:val="009A34E3"/>
    <w:rsid w:val="009B1393"/>
    <w:rsid w:val="009B1755"/>
    <w:rsid w:val="009B5BE4"/>
    <w:rsid w:val="009F6628"/>
    <w:rsid w:val="00A068F8"/>
    <w:rsid w:val="00A102FD"/>
    <w:rsid w:val="00A23C0E"/>
    <w:rsid w:val="00A26EE2"/>
    <w:rsid w:val="00A331D9"/>
    <w:rsid w:val="00A442EC"/>
    <w:rsid w:val="00A454F3"/>
    <w:rsid w:val="00A461BC"/>
    <w:rsid w:val="00A47FF5"/>
    <w:rsid w:val="00A519FB"/>
    <w:rsid w:val="00A56606"/>
    <w:rsid w:val="00A57636"/>
    <w:rsid w:val="00A60E10"/>
    <w:rsid w:val="00A70115"/>
    <w:rsid w:val="00A711FE"/>
    <w:rsid w:val="00A72861"/>
    <w:rsid w:val="00A754DD"/>
    <w:rsid w:val="00A8211F"/>
    <w:rsid w:val="00A83754"/>
    <w:rsid w:val="00A946B4"/>
    <w:rsid w:val="00A95CC5"/>
    <w:rsid w:val="00A97856"/>
    <w:rsid w:val="00A97D4E"/>
    <w:rsid w:val="00AA44DC"/>
    <w:rsid w:val="00AB501C"/>
    <w:rsid w:val="00AC0FB7"/>
    <w:rsid w:val="00AC1E68"/>
    <w:rsid w:val="00AC39E3"/>
    <w:rsid w:val="00AC4BBE"/>
    <w:rsid w:val="00AD4535"/>
    <w:rsid w:val="00AE6E36"/>
    <w:rsid w:val="00AF2404"/>
    <w:rsid w:val="00B11CFB"/>
    <w:rsid w:val="00B1217C"/>
    <w:rsid w:val="00B24068"/>
    <w:rsid w:val="00B244CB"/>
    <w:rsid w:val="00B300A0"/>
    <w:rsid w:val="00B30920"/>
    <w:rsid w:val="00B36175"/>
    <w:rsid w:val="00B36AE9"/>
    <w:rsid w:val="00B37401"/>
    <w:rsid w:val="00B41012"/>
    <w:rsid w:val="00B50D10"/>
    <w:rsid w:val="00B61FB6"/>
    <w:rsid w:val="00B62CC6"/>
    <w:rsid w:val="00B638BB"/>
    <w:rsid w:val="00B646A7"/>
    <w:rsid w:val="00B655E7"/>
    <w:rsid w:val="00B75636"/>
    <w:rsid w:val="00B82BC4"/>
    <w:rsid w:val="00B859E6"/>
    <w:rsid w:val="00B85B25"/>
    <w:rsid w:val="00B90DF4"/>
    <w:rsid w:val="00B97728"/>
    <w:rsid w:val="00BB148C"/>
    <w:rsid w:val="00BB1C40"/>
    <w:rsid w:val="00BC047D"/>
    <w:rsid w:val="00BD12F2"/>
    <w:rsid w:val="00BD21C3"/>
    <w:rsid w:val="00BD6527"/>
    <w:rsid w:val="00BE015C"/>
    <w:rsid w:val="00BE07EE"/>
    <w:rsid w:val="00BE3319"/>
    <w:rsid w:val="00BE342B"/>
    <w:rsid w:val="00BE50D2"/>
    <w:rsid w:val="00C04FE4"/>
    <w:rsid w:val="00C174B3"/>
    <w:rsid w:val="00C17C83"/>
    <w:rsid w:val="00C211AD"/>
    <w:rsid w:val="00C2517C"/>
    <w:rsid w:val="00C27C97"/>
    <w:rsid w:val="00C31D75"/>
    <w:rsid w:val="00C372C4"/>
    <w:rsid w:val="00C421B1"/>
    <w:rsid w:val="00C42467"/>
    <w:rsid w:val="00C445DA"/>
    <w:rsid w:val="00C73C43"/>
    <w:rsid w:val="00C95BB4"/>
    <w:rsid w:val="00C96117"/>
    <w:rsid w:val="00CA126A"/>
    <w:rsid w:val="00CA4CE7"/>
    <w:rsid w:val="00CA526D"/>
    <w:rsid w:val="00CC385D"/>
    <w:rsid w:val="00CC4ACB"/>
    <w:rsid w:val="00CD7AA0"/>
    <w:rsid w:val="00D168E9"/>
    <w:rsid w:val="00D208C4"/>
    <w:rsid w:val="00D21E34"/>
    <w:rsid w:val="00D34085"/>
    <w:rsid w:val="00D464E5"/>
    <w:rsid w:val="00D550D7"/>
    <w:rsid w:val="00D572B9"/>
    <w:rsid w:val="00D64727"/>
    <w:rsid w:val="00D706B5"/>
    <w:rsid w:val="00D73096"/>
    <w:rsid w:val="00D77E88"/>
    <w:rsid w:val="00D80661"/>
    <w:rsid w:val="00D878CD"/>
    <w:rsid w:val="00DA1EBB"/>
    <w:rsid w:val="00DA32E4"/>
    <w:rsid w:val="00DA669D"/>
    <w:rsid w:val="00DB2B0E"/>
    <w:rsid w:val="00DD1C8A"/>
    <w:rsid w:val="00DD1D31"/>
    <w:rsid w:val="00DD36B8"/>
    <w:rsid w:val="00DD547B"/>
    <w:rsid w:val="00DF249B"/>
    <w:rsid w:val="00DF4981"/>
    <w:rsid w:val="00E14DC4"/>
    <w:rsid w:val="00E25FF8"/>
    <w:rsid w:val="00E26DB0"/>
    <w:rsid w:val="00E313E0"/>
    <w:rsid w:val="00E4672A"/>
    <w:rsid w:val="00E46ECB"/>
    <w:rsid w:val="00E52FF0"/>
    <w:rsid w:val="00E66BA2"/>
    <w:rsid w:val="00E673B0"/>
    <w:rsid w:val="00E86F30"/>
    <w:rsid w:val="00E96597"/>
    <w:rsid w:val="00EA5CF5"/>
    <w:rsid w:val="00EB5B27"/>
    <w:rsid w:val="00EB727B"/>
    <w:rsid w:val="00EB7BB0"/>
    <w:rsid w:val="00EE21B7"/>
    <w:rsid w:val="00EE29C1"/>
    <w:rsid w:val="00EE2F9D"/>
    <w:rsid w:val="00EF46EB"/>
    <w:rsid w:val="00EF757B"/>
    <w:rsid w:val="00F01200"/>
    <w:rsid w:val="00F05A3A"/>
    <w:rsid w:val="00F10372"/>
    <w:rsid w:val="00F34345"/>
    <w:rsid w:val="00F41235"/>
    <w:rsid w:val="00F518ED"/>
    <w:rsid w:val="00F554E4"/>
    <w:rsid w:val="00F65A30"/>
    <w:rsid w:val="00F66B9B"/>
    <w:rsid w:val="00F67C8D"/>
    <w:rsid w:val="00F847BD"/>
    <w:rsid w:val="00F87F27"/>
    <w:rsid w:val="00FA5381"/>
    <w:rsid w:val="00FA793A"/>
    <w:rsid w:val="00FC3520"/>
    <w:rsid w:val="00FC7119"/>
    <w:rsid w:val="00FD4F96"/>
    <w:rsid w:val="00FE7215"/>
    <w:rsid w:val="00FF2A0C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25C1E2D6-D4B8-409D-AA22-F561CB3E4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C0FB7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paragraph" w:styleId="Heading1">
    <w:name w:val="heading 1"/>
    <w:basedOn w:val="Normal"/>
    <w:next w:val="Normal"/>
    <w:link w:val="Ttulo1Char"/>
    <w:uiPriority w:val="9"/>
    <w:qFormat/>
    <w:rsid w:val="00D878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Ttulo2Char"/>
    <w:uiPriority w:val="9"/>
    <w:semiHidden/>
    <w:unhideWhenUsed/>
    <w:qFormat/>
    <w:rsid w:val="00D878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Ttulo3Char"/>
    <w:uiPriority w:val="9"/>
    <w:semiHidden/>
    <w:unhideWhenUsed/>
    <w:qFormat/>
    <w:rsid w:val="00D878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Ttulo4Char"/>
    <w:uiPriority w:val="9"/>
    <w:semiHidden/>
    <w:unhideWhenUsed/>
    <w:qFormat/>
    <w:rsid w:val="00D878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Ttulo5Char"/>
    <w:uiPriority w:val="9"/>
    <w:semiHidden/>
    <w:unhideWhenUsed/>
    <w:qFormat/>
    <w:rsid w:val="00D878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rsid w:val="00D878C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Ttulo7Char"/>
    <w:uiPriority w:val="9"/>
    <w:semiHidden/>
    <w:unhideWhenUsed/>
    <w:qFormat/>
    <w:rsid w:val="00D878C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Ttulo8Char"/>
    <w:uiPriority w:val="9"/>
    <w:semiHidden/>
    <w:unhideWhenUsed/>
    <w:qFormat/>
    <w:rsid w:val="00D878C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Ttulo9Char"/>
    <w:uiPriority w:val="9"/>
    <w:semiHidden/>
    <w:unhideWhenUsed/>
    <w:qFormat/>
    <w:rsid w:val="00D878C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itaoDireitaGrande">
    <w:name w:val="Citação Direita Grande"/>
    <w:basedOn w:val="Normal"/>
    <w:link w:val="CitaoDireitaGrandeChar"/>
    <w:qFormat/>
    <w:rsid w:val="00296637"/>
    <w:pPr>
      <w:ind w:left="2268"/>
      <w:jc w:val="both"/>
    </w:pPr>
    <w:rPr>
      <w:szCs w:val="24"/>
    </w:rPr>
  </w:style>
  <w:style w:type="character" w:customStyle="1" w:styleId="CitaoDireitaGrandeChar">
    <w:name w:val="Citação Direita Grande Char"/>
    <w:basedOn w:val="DefaultParagraphFont"/>
    <w:link w:val="CitaoDireitaGrande"/>
    <w:rsid w:val="00296637"/>
    <w:rPr>
      <w:sz w:val="20"/>
      <w:szCs w:val="24"/>
    </w:rPr>
  </w:style>
  <w:style w:type="character" w:customStyle="1" w:styleId="Ttulo1Char">
    <w:name w:val="Título 1 Char"/>
    <w:basedOn w:val="DefaultParagraphFont"/>
    <w:link w:val="Heading1"/>
    <w:uiPriority w:val="9"/>
    <w:rsid w:val="00D878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D878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DefaultParagraphFont"/>
    <w:link w:val="Heading3"/>
    <w:uiPriority w:val="9"/>
    <w:semiHidden/>
    <w:rsid w:val="00D878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DefaultParagraphFont"/>
    <w:link w:val="Heading4"/>
    <w:uiPriority w:val="9"/>
    <w:semiHidden/>
    <w:rsid w:val="00D878C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DefaultParagraphFont"/>
    <w:link w:val="Heading5"/>
    <w:uiPriority w:val="9"/>
    <w:semiHidden/>
    <w:rsid w:val="00D878CD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D878CD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DefaultParagraphFont"/>
    <w:link w:val="Heading7"/>
    <w:uiPriority w:val="9"/>
    <w:semiHidden/>
    <w:rsid w:val="00D878CD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DefaultParagraphFont"/>
    <w:link w:val="Heading8"/>
    <w:uiPriority w:val="9"/>
    <w:semiHidden/>
    <w:rsid w:val="00D878CD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DefaultParagraphFont"/>
    <w:link w:val="Heading9"/>
    <w:uiPriority w:val="9"/>
    <w:semiHidden/>
    <w:rsid w:val="00D878C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tuloChar"/>
    <w:uiPriority w:val="10"/>
    <w:qFormat/>
    <w:rsid w:val="00D878C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DefaultParagraphFont"/>
    <w:link w:val="Title"/>
    <w:uiPriority w:val="10"/>
    <w:rsid w:val="00D878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tuloChar"/>
    <w:uiPriority w:val="11"/>
    <w:qFormat/>
    <w:rsid w:val="00D878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DefaultParagraphFont"/>
    <w:link w:val="Subtitle"/>
    <w:uiPriority w:val="11"/>
    <w:rsid w:val="00D878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CitaoChar"/>
    <w:uiPriority w:val="29"/>
    <w:qFormat/>
    <w:rsid w:val="00D878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DefaultParagraphFont"/>
    <w:link w:val="Quote"/>
    <w:uiPriority w:val="29"/>
    <w:rsid w:val="00D878C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878C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878C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CitaoIntensaChar"/>
    <w:uiPriority w:val="30"/>
    <w:qFormat/>
    <w:rsid w:val="00D878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DefaultParagraphFont"/>
    <w:link w:val="IntenseQuote"/>
    <w:uiPriority w:val="30"/>
    <w:rsid w:val="00D878C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878C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CabealhoChar"/>
    <w:rsid w:val="00D878CD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DefaultParagraphFont"/>
    <w:link w:val="Header"/>
    <w:rsid w:val="00D878CD"/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table" w:styleId="TableGrid">
    <w:name w:val="Table Grid"/>
    <w:basedOn w:val="TableNormal"/>
    <w:uiPriority w:val="39"/>
    <w:rsid w:val="00D878C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RodapChar"/>
    <w:uiPriority w:val="99"/>
    <w:unhideWhenUsed/>
    <w:rsid w:val="0024520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DefaultParagraphFont"/>
    <w:link w:val="Footer"/>
    <w:uiPriority w:val="99"/>
    <w:rsid w:val="00245209"/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paragraph" w:styleId="FootnoteText">
    <w:name w:val="footnote text"/>
    <w:basedOn w:val="Normal"/>
    <w:link w:val="TextodenotaderodapChar"/>
    <w:uiPriority w:val="99"/>
    <w:semiHidden/>
    <w:unhideWhenUsed/>
    <w:rsid w:val="003E0416"/>
  </w:style>
  <w:style w:type="character" w:customStyle="1" w:styleId="TextodenotaderodapChar">
    <w:name w:val="Texto de nota de rodapé Char"/>
    <w:basedOn w:val="DefaultParagraphFont"/>
    <w:link w:val="FootnoteText"/>
    <w:uiPriority w:val="99"/>
    <w:semiHidden/>
    <w:rsid w:val="003E0416"/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3E0416"/>
    <w:rPr>
      <w:vertAlign w:val="superscript"/>
    </w:rPr>
  </w:style>
  <w:style w:type="paragraph" w:styleId="NormalWeb">
    <w:name w:val="Normal (Web)"/>
    <w:basedOn w:val="Normal"/>
    <w:uiPriority w:val="99"/>
    <w:unhideWhenUsed/>
    <w:rsid w:val="00FC711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02DE75-00D8-481A-A707-DD65C804CB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2026</TotalTime>
  <Pages>5</Pages>
  <Words>1524</Words>
  <Characters>8230</Characters>
  <Application>Microsoft Office Word</Application>
  <DocSecurity>0</DocSecurity>
  <Lines>68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Eric Cavaca</dc:creator>
  <cp:lastModifiedBy>Ernani</cp:lastModifiedBy>
  <cp:revision>100</cp:revision>
  <cp:lastPrinted>2026-10-14T19:28:23Z</cp:lastPrinted>
  <dcterms:created xsi:type="dcterms:W3CDTF">2026-01-09T01:35:00Z</dcterms:created>
  <dcterms:modified xsi:type="dcterms:W3CDTF">2026-10-14T19:20:00Z</dcterms:modified>
</cp:coreProperties>
</file>