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7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7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55C5F570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(</w:t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SUBEMENDA À EMENDA Nº </w:t>
      </w:r>
      <w:r w:rsidR="0042323A">
        <w:rPr>
          <w:rFonts w:ascii="Courier New" w:hAnsi="Courier New" w:cs="Courier New"/>
          <w:i/>
          <w:iCs/>
          <w:kern w:val="3"/>
          <w:sz w:val="22"/>
          <w:szCs w:val="22"/>
        </w:rPr>
        <w:t>7</w:t>
      </w:r>
      <w:r w:rsidR="00FE208B">
        <w:rPr>
          <w:rFonts w:ascii="Courier New" w:hAnsi="Courier New" w:cs="Courier New"/>
          <w:i/>
          <w:iCs/>
          <w:kern w:val="3"/>
          <w:sz w:val="22"/>
          <w:szCs w:val="22"/>
        </w:rPr>
        <w:br/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>AO PROJETO DE EMENDA REVISIONAL DA LEI ORGÂNICA Nº 1/2026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D10FF4" w:rsidRPr="00852ED9" w:rsidP="00D10FF4" w14:paraId="24F6A750" w14:textId="6635B326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D10FF4">
        <w:rPr>
          <w:rFonts w:ascii="Courier New" w:hAnsi="Courier New" w:cs="Courier New"/>
          <w:sz w:val="22"/>
          <w:szCs w:val="22"/>
        </w:rPr>
        <w:t>Substitui-se a redação proposta pela Emenda nº 7 ao Projeto de Emenda Revisional da Lei Orgânica nº 1/2026</w:t>
      </w:r>
      <w:r w:rsidR="00FE208B">
        <w:rPr>
          <w:rFonts w:ascii="Courier New" w:hAnsi="Courier New" w:cs="Courier New"/>
          <w:sz w:val="22"/>
          <w:szCs w:val="22"/>
        </w:rPr>
        <w:t>, a qual “</w:t>
      </w:r>
      <w:r w:rsidRPr="0042323A" w:rsidR="0042323A">
        <w:rPr>
          <w:rFonts w:ascii="Courier New" w:hAnsi="Courier New" w:cs="Courier New"/>
          <w:sz w:val="22"/>
          <w:szCs w:val="22"/>
        </w:rPr>
        <w:t>SUBSTITUI o artigo 70, XIII do Projeto de Emenda Revisional da Lei Orgânica n°01/2026,</w:t>
      </w:r>
      <w:r w:rsidR="0042323A">
        <w:rPr>
          <w:rFonts w:ascii="Courier New" w:hAnsi="Courier New" w:cs="Courier New"/>
          <w:sz w:val="22"/>
          <w:szCs w:val="22"/>
        </w:rPr>
        <w:t xml:space="preserve"> </w:t>
      </w:r>
      <w:r w:rsidRPr="0042323A" w:rsidR="0042323A">
        <w:rPr>
          <w:rFonts w:ascii="Courier New" w:hAnsi="Courier New" w:cs="Courier New"/>
          <w:sz w:val="22"/>
          <w:szCs w:val="22"/>
        </w:rPr>
        <w:t>que “DISPÕE SOBRE A REVISÃO DA LEI ORGÂNICA DO MUNICÍPIO DE MOGI MIRIM.”</w:t>
      </w:r>
      <w:r w:rsidRPr="00852ED9" w:rsidR="00274563">
        <w:rPr>
          <w:rFonts w:ascii="Courier New" w:hAnsi="Courier New" w:cs="Courier New"/>
          <w:sz w:val="22"/>
          <w:szCs w:val="22"/>
        </w:rPr>
        <w:t xml:space="preserve">, </w:t>
      </w:r>
      <w:r w:rsidRPr="00317DEF">
        <w:rPr>
          <w:rFonts w:ascii="Courier New" w:hAnsi="Courier New" w:cs="Courier New"/>
          <w:sz w:val="22"/>
          <w:szCs w:val="22"/>
        </w:rPr>
        <w:t xml:space="preserve">passando </w:t>
      </w:r>
      <w:r w:rsidRPr="00D10FF4">
        <w:rPr>
          <w:rFonts w:ascii="Courier New" w:hAnsi="Courier New" w:cs="Courier New"/>
          <w:sz w:val="22"/>
          <w:szCs w:val="22"/>
        </w:rPr>
        <w:t>o inciso XIII do art. 70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17DEF">
        <w:rPr>
          <w:rFonts w:ascii="Courier New" w:hAnsi="Courier New" w:cs="Courier New"/>
          <w:sz w:val="22"/>
          <w:szCs w:val="22"/>
        </w:rPr>
        <w:t>a vigorar com a seguinte redação</w:t>
      </w:r>
      <w:r>
        <w:rPr>
          <w:rFonts w:ascii="Courier New" w:hAnsi="Courier New" w:cs="Courier New"/>
          <w:sz w:val="22"/>
          <w:szCs w:val="22"/>
        </w:rPr>
        <w:t>:</w:t>
      </w:r>
    </w:p>
    <w:p w:rsidR="00274563" w:rsidP="00274563" w14:paraId="109EAE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0DB7A49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</w:t>
      </w:r>
      <w:r w:rsidR="00D049F5">
        <w:rPr>
          <w:rFonts w:ascii="Courier New" w:hAnsi="Courier New" w:cs="Courier New"/>
          <w:b/>
          <w:bCs/>
          <w:sz w:val="22"/>
          <w:szCs w:val="22"/>
        </w:rPr>
        <w:t xml:space="preserve"> DA EMENDA</w:t>
      </w:r>
      <w:r w:rsidRPr="00852ED9">
        <w:rPr>
          <w:rFonts w:ascii="Courier New" w:hAnsi="Courier New" w:cs="Courier New"/>
          <w:b/>
          <w:bCs/>
          <w:sz w:val="22"/>
          <w:szCs w:val="22"/>
        </w:rPr>
        <w:t>:</w:t>
      </w:r>
    </w:p>
    <w:p w:rsidR="0042323A" w:rsidRPr="0042323A" w:rsidP="0042323A" w14:paraId="08458138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42323A">
        <w:rPr>
          <w:rFonts w:ascii="Courier New" w:hAnsi="Courier New" w:cs="Courier New"/>
          <w:b/>
          <w:bCs/>
          <w:sz w:val="22"/>
          <w:szCs w:val="22"/>
        </w:rPr>
        <w:t>Art. 70.</w:t>
      </w:r>
      <w:r w:rsidRPr="0042323A">
        <w:rPr>
          <w:rFonts w:ascii="Courier New" w:hAnsi="Courier New" w:cs="Courier New"/>
          <w:sz w:val="22"/>
          <w:szCs w:val="22"/>
        </w:rPr>
        <w:t xml:space="preserve"> Compete privativamente ao Prefeito:</w:t>
      </w:r>
    </w:p>
    <w:p w:rsidR="00D049F5" w:rsidRPr="00852ED9" w:rsidP="0042323A" w14:paraId="6316C820" w14:textId="6D7AEBD3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42323A">
        <w:rPr>
          <w:rFonts w:ascii="Courier New" w:hAnsi="Courier New" w:cs="Courier New"/>
          <w:b/>
          <w:bCs/>
          <w:sz w:val="22"/>
          <w:szCs w:val="22"/>
        </w:rPr>
        <w:t>XIII –</w:t>
      </w:r>
      <w:r w:rsidRPr="0042323A">
        <w:rPr>
          <w:rFonts w:ascii="Courier New" w:hAnsi="Courier New" w:cs="Courier New"/>
          <w:sz w:val="22"/>
          <w:szCs w:val="22"/>
        </w:rPr>
        <w:t xml:space="preserve"> prestar informações à Câmara na forma do Art. 35 e da legislação aplicável;</w:t>
      </w:r>
    </w:p>
    <w:p w:rsidR="008677C0" w:rsidRPr="00852ED9" w:rsidP="00274563" w14:paraId="0F9A4303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42323A" w:rsidRPr="0042323A" w:rsidP="0042323A" w14:paraId="7949D6A2" w14:textId="11D58AE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42323A">
        <w:rPr>
          <w:rFonts w:ascii="Courier New" w:hAnsi="Courier New" w:cs="Courier New"/>
          <w:b/>
          <w:bCs/>
          <w:sz w:val="22"/>
          <w:szCs w:val="22"/>
        </w:rPr>
        <w:t>Art. 70.</w:t>
      </w:r>
      <w:r w:rsidRPr="0042323A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42323A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42323A" w14:paraId="62DFA518" w14:textId="6879977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42323A">
        <w:rPr>
          <w:rFonts w:ascii="Courier New" w:hAnsi="Courier New" w:cs="Courier New"/>
          <w:b/>
          <w:bCs/>
          <w:sz w:val="22"/>
          <w:szCs w:val="22"/>
        </w:rPr>
        <w:t>XIII –</w:t>
      </w:r>
      <w:r w:rsidRPr="0042323A">
        <w:rPr>
          <w:rFonts w:ascii="Courier New" w:hAnsi="Courier New" w:cs="Courier New"/>
          <w:sz w:val="22"/>
          <w:szCs w:val="22"/>
        </w:rPr>
        <w:t xml:space="preserve"> prestar informações à Câmara Municipal, na forma do art. 35 desta Lei Orgânica e da legislação aplicável, sem prejuízo das prerrogativas individuais dos Vereadores previstas no art. 41 e do direito fundamental de acesso à informação;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23B33712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A70FEA" w:rsidP="00274563" w14:paraId="51181CFE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9139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F33443" w:rsidRPr="00F33443" w:rsidP="00F33443" w14:paraId="4DC794D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presente Subemenda à Emenda nº 7 ao Projeto de Emenda Revisional da Lei Orgânica nº 1/2026 tem por finalidade preservar, de maneira expressa e inequívoca, as prerrogativas individuais de fiscalização dos Vereadores e o direito fundamental de acesso à informação, impedindo que a remissão ao art. 35 da Lei Orgânica seja interpretada como limitação ao exercício dessas garantias constitucionais.</w:t>
      </w:r>
    </w:p>
    <w:p w:rsidR="00F33443" w:rsidRPr="00F33443" w:rsidP="00F33443" w14:paraId="7CA4FC0D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Emenda nº 7 propõe acrescentar ao inciso XIII do art. 70 a expressão “na forma do Art. 35 e da legislação aplicável”, vinculando o dever do Prefeito de prestar informações à Câmara Municipal ao procedimento estabelecido no referido dispositivo.</w:t>
      </w:r>
    </w:p>
    <w:p w:rsidR="00F33443" w:rsidRPr="00F33443" w:rsidP="00F33443" w14:paraId="60666EA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Ocorre que o art. 35 do próprio Projeto de Emenda Revisional disciplina especificamente os pedidos escritos de informação encaminhados pela Mesa Diretora, pelas Comissões, pelas Frentes Parlamentares e pelo Plenário. Trata-se, portanto, de mecanismo de fiscalização institucional exercido pelos órgãos parlamentares expressamente mencionados, não abrangendo, em sua literalidade, todas as modalidades de acesso à informação disponíveis aos Vereadores individualmente.</w:t>
      </w:r>
    </w:p>
    <w:p w:rsidR="00F33443" w:rsidRPr="00F33443" w:rsidP="00F33443" w14:paraId="54B057F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Por outro lado, o art. 41 do mesmo Projeto assegura expressamente a cada Vereador, para o desempenho de suas funções legislativa, fiscalizatória e de controle, o acesso, a consulta, o exame e a obtenção de informações e documentos existentes nos órgãos da Câmara Municipal e da Administração Pública Municipal direta e indireta. Seu § 1º estabelece que o acesso independe de autorização prévia, ressalvadas as hipóteses legais de sigilo, enquanto o § 3º impede que a regulamentação regimental restrinja a prerrogativa fiscalizatória parlamentar.</w:t>
      </w:r>
    </w:p>
    <w:p w:rsidR="00F33443" w:rsidRPr="00F33443" w:rsidP="00F33443" w14:paraId="0C2C2B6D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coexistência desses dispositivos demonstra que o próprio Projeto Revisional reconhece modalidades distintas e complementares de fiscalização: uma exercida institucionalmente pelos órgãos parlamentares e outra assegurada individualmente aos membros do Poder Legislativo, além do direito de acesso à informação pertencente a qualquer cidadão.</w:t>
      </w:r>
    </w:p>
    <w:p w:rsidR="00F33443" w:rsidRPr="00F33443" w:rsidP="00F33443" w14:paraId="158AB603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Sem a ressalva proposta, a remissão exclusiva ao art. 35 poderá favorecer interpretação administrativa segundo a qual determinadas solicitações de informação dependeriam necessariamente de encaminhamento pela Mesa Diretora, por Comissão ou pelo Plenário, criando obstáculos ao exercício individual da fiscalização parlamentar.</w:t>
      </w:r>
    </w:p>
    <w:p w:rsidR="00F33443" w:rsidRPr="00F33443" w:rsidP="00F33443" w14:paraId="05755A8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 xml:space="preserve">Essa interpretação seria prejudicial à efetividade do controle legislativo, pois permitiria que procedimentos internos de natureza colegiada fossem indevidamente utilizados para condicionar ou </w:t>
      </w:r>
      <w:r w:rsidRPr="00F33443">
        <w:rPr>
          <w:rFonts w:ascii="Courier New" w:hAnsi="Courier New" w:cs="Courier New"/>
          <w:sz w:val="22"/>
          <w:szCs w:val="22"/>
        </w:rPr>
        <w:t>dificultar o acesso individual às informações assegurado pelo art. 41 do próprio Projeto Revisional.</w:t>
      </w:r>
    </w:p>
    <w:p w:rsidR="00F33443" w:rsidRPr="00F33443" w:rsidP="00F33443" w14:paraId="021E7A7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 xml:space="preserve">A Constituição Federal estabelece, em seu art. 5º, inciso </w:t>
      </w:r>
      <w:r w:rsidRPr="00F33443">
        <w:rPr>
          <w:rFonts w:ascii="Courier New" w:hAnsi="Courier New" w:cs="Courier New"/>
          <w:sz w:val="22"/>
          <w:szCs w:val="22"/>
        </w:rPr>
        <w:t>XXXIII</w:t>
      </w:r>
      <w:r w:rsidRPr="00F33443">
        <w:rPr>
          <w:rFonts w:ascii="Courier New" w:hAnsi="Courier New" w:cs="Courier New"/>
          <w:sz w:val="22"/>
          <w:szCs w:val="22"/>
        </w:rPr>
        <w:t>, o direito de todos a receber dos órgãos públicos informações de interesse particular, coletivo ou geral, ressalvadas as hipóteses constitucionais de sigilo. O art. 37 consagra o princípio da publicidade administrativa, enquanto o art. 31 atribui ao Poder Legislativo Municipal o exercício da fiscalização do Município.</w:t>
      </w:r>
    </w:p>
    <w:p w:rsidR="00F33443" w:rsidRPr="00F33443" w:rsidP="00F33443" w14:paraId="664CA1A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 xml:space="preserve">A matéria foi expressamente apreciada pelo Supremo Tribunal Federal no Recurso Extraordinário nº 865.401/MG, Relator Ministro Dias Toffoli, Tribunal Pleno, julgado em 25 de abril de 2018, sob o regime da repercussão geral — Tema 832. Nesse julgamento, o STF fixou a seguinte tese: “O parlamentar, na condição de cidadão, pode exercer plenamente seu direito fundamental de acesso a informações de interesse pessoal ou coletivo, nos termos do art. 5º, inciso </w:t>
      </w:r>
      <w:r w:rsidRPr="00F33443">
        <w:rPr>
          <w:rFonts w:ascii="Courier New" w:hAnsi="Courier New" w:cs="Courier New"/>
          <w:sz w:val="22"/>
          <w:szCs w:val="22"/>
        </w:rPr>
        <w:t>XXXIII</w:t>
      </w:r>
      <w:r w:rsidRPr="00F33443">
        <w:rPr>
          <w:rFonts w:ascii="Courier New" w:hAnsi="Courier New" w:cs="Courier New"/>
          <w:sz w:val="22"/>
          <w:szCs w:val="22"/>
        </w:rPr>
        <w:t>, da CF e das normas de regência desse direito”. Essa tese possui aplicação diretamente pertinente à matéria, pois o julgamento examinou justamente a possibilidade de um Vereador obter informações e documentos diretamente do Chefe do Poder Executivo, independentemente de solicitação formulada institucionalmente pela Câmara Municipal.</w:t>
      </w:r>
    </w:p>
    <w:p w:rsidR="00F33443" w:rsidRPr="00F33443" w:rsidP="00F33443" w14:paraId="24E3A5D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Cumpre destacar que o entendimento do Supremo Tribunal Federal não reconhece poderes ilimitados de requisição parlamentar. O precedente assegura o exercício do direito fundamental de acesso à informação na condição de cidadão, observados os requisitos, procedimentos e limites previstos na legislação aplicável. Exatamente por isso, a redação proposta faz referência tanto às prerrogativas individuais dos Vereadores quanto ao direito fundamental de acesso à informação, sem afastar as hipóteses legais de sigilo.</w:t>
      </w:r>
    </w:p>
    <w:p w:rsidR="00F33443" w:rsidRPr="00F33443" w:rsidP="00F33443" w14:paraId="4C5E363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Lei Federal nº 12.527/2011 — Lei de Acesso à Informação, em seu art. 10, estabelece que qualquer interessado poderá apresentar pedido de acesso a informações públicas, vedando exigências relativas aos motivos determinantes da solicitação. Seu art. 11 disciplina o atendimento, os prazos aplicáveis e a necessidade de fundamentação das recusas.</w:t>
      </w:r>
    </w:p>
    <w:p w:rsidR="00F33443" w:rsidRPr="00F33443" w:rsidP="00F33443" w14:paraId="5551F72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Desse modo, os pedidos institucionais previstos no art. 35 da Lei Orgânica e as solicitações individuais fundadas no art. 41 e na Lei de Acesso à Informação devem ser interpretados de forma harmônica, respeitando-se os procedimentos legalmente aplicáveis a cada modalidade, sem que um instrumento suprima ou condicione indevidamente o exercício do outro.</w:t>
      </w:r>
    </w:p>
    <w:p w:rsidR="00F33443" w:rsidRPr="00F33443" w:rsidP="00F33443" w14:paraId="4482741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 xml:space="preserve">A importância dessa distinção ultrapassa o interesse individual dos Vereadores. O exercício efetivo do controle parlamentar constitui garantia da população, que deve poder acompanhar, por meio de seus representantes eleitos, a aplicação de recursos públicos, a execução </w:t>
      </w:r>
      <w:r w:rsidRPr="00F33443">
        <w:rPr>
          <w:rFonts w:ascii="Courier New" w:hAnsi="Courier New" w:cs="Courier New"/>
          <w:sz w:val="22"/>
          <w:szCs w:val="22"/>
        </w:rPr>
        <w:t>orçamentária, a celebração de contratos administrativos e a prestação dos serviços municipais.</w:t>
      </w:r>
    </w:p>
    <w:p w:rsidR="00F33443" w:rsidRPr="00F33443" w:rsidP="00F33443" w14:paraId="5BACA50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fiscalização individual dos Vereadores integra o sistema democrático de controle da Administração e não pode ser subordinada à formação de maiorias parlamentares quando o próprio ordenamento assegura acesso individual a informações e documentos. A preservação dessa esfera de atuação também se harmoniza com o pluralismo político e com a separação dos Poderes.</w:t>
      </w:r>
    </w:p>
    <w:p w:rsidR="00F33443" w:rsidRPr="00F33443" w:rsidP="00F33443" w14:paraId="094384A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proteção dessas garantias encontra fundamento também no pluralismo político, consagrado pelo art. 1º, inciso V, da Constituição Federal, e na própria finalidade do sistema de separação dos Poderes, que pressupõe mecanismos institucionais de fiscalização e responsabilização.</w:t>
      </w:r>
    </w:p>
    <w:p w:rsidR="00F33443" w:rsidRPr="00F33443" w:rsidP="00F33443" w14:paraId="7E452B0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A Subemenda não amplia indevidamente os poderes do Legislativo, não impõe deveres estranhos à legislação vigente e não afasta a proteção de dados pessoais ou dos sigilos legalmente reconhecidos. Sua finalidade consiste exclusivamente em afastar eventual interpretação restritiva e assegurar coerência entre os arts. 35, 41 e 70 da Lei Orgânica Municipal.</w:t>
      </w:r>
    </w:p>
    <w:p w:rsidR="008871E7" w:rsidRPr="00852ED9" w:rsidP="00F33443" w14:paraId="5C06C57F" w14:textId="3E915B8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33443">
        <w:rPr>
          <w:rFonts w:ascii="Courier New" w:hAnsi="Courier New" w:cs="Courier New"/>
          <w:sz w:val="22"/>
          <w:szCs w:val="22"/>
        </w:rPr>
        <w:t>Dessa forma, a inclusão da ressalva expressa representa providência necessária ao aperfeiçoamento da redação orgânica, garantindo segurança jurídica, transparência administrativa, efetividade da fiscalização, respeito ao pluralismo político e preservação do direito fundamental de acesso à informação.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76553"/>
    <w:rsid w:val="000958A6"/>
    <w:rsid w:val="000A3A55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6EEE"/>
    <w:rsid w:val="001277C1"/>
    <w:rsid w:val="001438A8"/>
    <w:rsid w:val="00153665"/>
    <w:rsid w:val="00154A5F"/>
    <w:rsid w:val="00156CD3"/>
    <w:rsid w:val="00156E23"/>
    <w:rsid w:val="001610A9"/>
    <w:rsid w:val="0016556C"/>
    <w:rsid w:val="001759E1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32891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17DEF"/>
    <w:rsid w:val="003226F4"/>
    <w:rsid w:val="00327030"/>
    <w:rsid w:val="003274BA"/>
    <w:rsid w:val="00332D04"/>
    <w:rsid w:val="0034361C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323A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069A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677C0"/>
    <w:rsid w:val="00867875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67AF2"/>
    <w:rsid w:val="00971146"/>
    <w:rsid w:val="00973DE8"/>
    <w:rsid w:val="00981F6B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4A53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0FEA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D4474"/>
    <w:rsid w:val="00BE015C"/>
    <w:rsid w:val="00BE07EE"/>
    <w:rsid w:val="00BE3319"/>
    <w:rsid w:val="00BE342B"/>
    <w:rsid w:val="00BE50D2"/>
    <w:rsid w:val="00C02B82"/>
    <w:rsid w:val="00C04FE4"/>
    <w:rsid w:val="00C1262D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049F5"/>
    <w:rsid w:val="00D10FF4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92C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1F85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3443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208B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4</Pages>
  <Words>1213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98</cp:revision>
  <cp:lastPrinted>2026-10-14T19:32:39Z</cp:lastPrinted>
  <dcterms:created xsi:type="dcterms:W3CDTF">2026-01-09T01:35:00Z</dcterms:created>
  <dcterms:modified xsi:type="dcterms:W3CDTF">2026-10-14T16:54:00Z</dcterms:modified>
</cp:coreProperties>
</file>