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C7DD4" w:rsidRPr="001C7DD4" w:rsidP="001C7DD4" w14:paraId="5FD887E9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1C7DD4">
        <w:rPr>
          <w:rFonts w:ascii="Courier New" w:hAnsi="Courier New" w:cs="Courier New"/>
          <w:b/>
          <w:bCs/>
          <w:kern w:val="3"/>
          <w:sz w:val="28"/>
          <w:szCs w:val="28"/>
        </w:rPr>
        <w:t>Emenda Nº 3 ao Projeto de Lei Nº 97/2026</w:t>
      </w:r>
      <w:r w:rsidRPr="001C7DD4">
        <w:rPr>
          <w:rFonts w:ascii="Courier New" w:hAnsi="Courier New" w:cs="Courier New"/>
          <w:b/>
          <w:bCs/>
          <w:kern w:val="3"/>
          <w:sz w:val="28"/>
          <w:szCs w:val="28"/>
        </w:rPr>
        <w:t>Emenda Nº 3 ao Projeto de Lei Nº 97/2026</w:t>
      </w:r>
    </w:p>
    <w:p w:rsidR="001C7DD4" w:rsidRPr="001C7DD4" w:rsidP="0032590D" w14:paraId="10E2E657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1C7DD4" w:rsidRPr="001C7DD4" w:rsidP="00D523DE" w14:paraId="6BAB5246" w14:textId="2DEA9D69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1C7DD4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(EMENDA ADITIVA AO PROJETO DE LEI Nº </w:t>
      </w:r>
      <w:r w:rsidR="0009389F">
        <w:rPr>
          <w:rFonts w:ascii="Courier New" w:hAnsi="Courier New" w:cs="Courier New"/>
          <w:i/>
          <w:iCs/>
          <w:kern w:val="3"/>
          <w:sz w:val="22"/>
          <w:szCs w:val="22"/>
        </w:rPr>
        <w:t>97</w:t>
      </w:r>
      <w:r w:rsidRPr="001C7DD4">
        <w:rPr>
          <w:rFonts w:ascii="Courier New" w:hAnsi="Courier New" w:cs="Courier New"/>
          <w:i/>
          <w:iCs/>
          <w:kern w:val="3"/>
          <w:sz w:val="22"/>
          <w:szCs w:val="22"/>
        </w:rPr>
        <w:t>/2026)</w:t>
      </w:r>
    </w:p>
    <w:p w:rsidR="001C7DD4" w:rsidRPr="001C7DD4" w:rsidP="0032590D" w14:paraId="268029E3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1C7DD4" w:rsidRPr="001C7DD4" w:rsidP="0032590D" w14:paraId="1DD3B705" w14:textId="30902572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1C7DD4">
        <w:rPr>
          <w:rFonts w:ascii="Courier New" w:hAnsi="Courier New" w:cs="Courier New"/>
          <w:sz w:val="22"/>
          <w:szCs w:val="22"/>
        </w:rPr>
        <w:t xml:space="preserve">Adiciona-se o </w:t>
      </w:r>
      <w:r w:rsidR="0009389F">
        <w:rPr>
          <w:rFonts w:ascii="Courier New" w:hAnsi="Courier New" w:cs="Courier New"/>
          <w:sz w:val="22"/>
          <w:szCs w:val="22"/>
        </w:rPr>
        <w:t>§ 4º</w:t>
      </w:r>
      <w:r w:rsidRPr="001C7DD4">
        <w:rPr>
          <w:rFonts w:ascii="Courier New" w:hAnsi="Courier New" w:cs="Courier New"/>
          <w:sz w:val="22"/>
          <w:szCs w:val="22"/>
        </w:rPr>
        <w:t xml:space="preserve"> ao art. </w:t>
      </w:r>
      <w:r w:rsidR="0009389F">
        <w:rPr>
          <w:rFonts w:ascii="Courier New" w:hAnsi="Courier New" w:cs="Courier New"/>
          <w:sz w:val="22"/>
          <w:szCs w:val="22"/>
        </w:rPr>
        <w:t>2</w:t>
      </w:r>
      <w:r w:rsidRPr="001C7DD4">
        <w:rPr>
          <w:rFonts w:ascii="Courier New" w:hAnsi="Courier New" w:cs="Courier New"/>
          <w:sz w:val="22"/>
          <w:szCs w:val="22"/>
        </w:rPr>
        <w:t xml:space="preserve">º </w:t>
      </w:r>
      <w:r w:rsidR="0032590D">
        <w:rPr>
          <w:rFonts w:ascii="Courier New" w:hAnsi="Courier New" w:cs="Courier New"/>
          <w:sz w:val="22"/>
          <w:szCs w:val="22"/>
        </w:rPr>
        <w:t xml:space="preserve">e o parágrafo único ao art. 11 </w:t>
      </w:r>
      <w:r w:rsidRPr="001C7DD4">
        <w:rPr>
          <w:rFonts w:ascii="Courier New" w:hAnsi="Courier New" w:cs="Courier New"/>
          <w:sz w:val="22"/>
          <w:szCs w:val="22"/>
        </w:rPr>
        <w:t xml:space="preserve">do Projeto de Lei nº </w:t>
      </w:r>
      <w:r w:rsidR="0009389F">
        <w:rPr>
          <w:rFonts w:ascii="Courier New" w:hAnsi="Courier New" w:cs="Courier New"/>
          <w:sz w:val="22"/>
          <w:szCs w:val="22"/>
        </w:rPr>
        <w:t>97</w:t>
      </w:r>
      <w:r w:rsidRPr="001C7DD4">
        <w:rPr>
          <w:rFonts w:ascii="Courier New" w:hAnsi="Courier New" w:cs="Courier New"/>
          <w:sz w:val="22"/>
          <w:szCs w:val="22"/>
        </w:rPr>
        <w:t>/2026, passando a vigorar com a seguinte redação:</w:t>
      </w:r>
    </w:p>
    <w:p w:rsidR="001C7DD4" w:rsidRPr="001C7DD4" w:rsidP="0032590D" w14:paraId="5E20EE37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1C7DD4" w:rsidRPr="001C7DD4" w:rsidP="0032590D" w14:paraId="305FA50C" w14:textId="4FEA7084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1C7DD4">
        <w:rPr>
          <w:rFonts w:ascii="Courier New" w:hAnsi="Courier New" w:cs="Courier New"/>
          <w:sz w:val="22"/>
          <w:szCs w:val="22"/>
        </w:rPr>
        <w:t>“</w:t>
      </w:r>
      <w:r w:rsidRPr="001C7DD4">
        <w:rPr>
          <w:rFonts w:ascii="Courier New" w:hAnsi="Courier New" w:cs="Courier New"/>
          <w:b/>
          <w:bCs/>
          <w:sz w:val="22"/>
          <w:szCs w:val="22"/>
        </w:rPr>
        <w:t xml:space="preserve">Art. </w:t>
      </w:r>
      <w:r w:rsidR="0009389F">
        <w:rPr>
          <w:rFonts w:ascii="Courier New" w:hAnsi="Courier New" w:cs="Courier New"/>
          <w:b/>
          <w:bCs/>
          <w:sz w:val="22"/>
          <w:szCs w:val="22"/>
        </w:rPr>
        <w:t>2</w:t>
      </w:r>
      <w:r w:rsidRPr="001C7DD4">
        <w:rPr>
          <w:rFonts w:ascii="Courier New" w:hAnsi="Courier New" w:cs="Courier New"/>
          <w:b/>
          <w:bCs/>
          <w:sz w:val="22"/>
          <w:szCs w:val="22"/>
        </w:rPr>
        <w:t>º</w:t>
      </w:r>
      <w:r w:rsidRPr="001C7DD4">
        <w:rPr>
          <w:rFonts w:ascii="Courier New" w:hAnsi="Courier New" w:cs="Courier New"/>
          <w:sz w:val="22"/>
          <w:szCs w:val="22"/>
        </w:rPr>
        <w:t xml:space="preserve"> [...]</w:t>
      </w:r>
    </w:p>
    <w:p w:rsidR="0032590D" w:rsidP="0032590D" w14:paraId="0A763740" w14:textId="77C2065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§ 4º</w:t>
      </w:r>
      <w:r w:rsidRPr="001C7DD4" w:rsidR="001C7DD4">
        <w:rPr>
          <w:rFonts w:ascii="Courier New" w:hAnsi="Courier New" w:cs="Courier New"/>
          <w:sz w:val="22"/>
          <w:szCs w:val="22"/>
        </w:rPr>
        <w:t xml:space="preserve"> </w:t>
      </w:r>
      <w:r w:rsidRPr="0032590D">
        <w:rPr>
          <w:rFonts w:ascii="Courier New" w:hAnsi="Courier New" w:cs="Courier New"/>
          <w:sz w:val="22"/>
          <w:szCs w:val="22"/>
        </w:rPr>
        <w:t>Os honorários advocatícios de sucumbência devidos aos advogados públicos municipais, relativos às execuções fiscais abrangidas pelos regimes de parcelamento ou reparcelamento previstos nesta Lei, serão parcelados no mesmo número de prestações e nos mesmos vencimentos do débito principal, observada a proporcionalidade dos pagamentos, sem redução do valor integral da verba honorária, mediante recolhimento por guia própria e depósito em conta específica, preservadas a titularidade e as regras de distribuição e repasse estabelecidas na Lei Municipal nº 6.423, de 7 de abril de 2022, e os direitos dos respectivos titulares.</w:t>
      </w:r>
    </w:p>
    <w:p w:rsidR="0032590D" w:rsidP="0032590D" w14:paraId="48B51637" w14:textId="04FBC9C2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[...]</w:t>
      </w:r>
    </w:p>
    <w:p w:rsidR="0032590D" w:rsidP="0032590D" w14:paraId="44ABEAF6" w14:textId="1ECD3DC8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b/>
          <w:bCs/>
          <w:sz w:val="22"/>
          <w:szCs w:val="22"/>
        </w:rPr>
        <w:t>Art. 11</w:t>
      </w:r>
      <w:r>
        <w:rPr>
          <w:rFonts w:ascii="Courier New" w:hAnsi="Courier New" w:cs="Courier New"/>
          <w:sz w:val="22"/>
          <w:szCs w:val="22"/>
        </w:rPr>
        <w:t>. [...]</w:t>
      </w:r>
    </w:p>
    <w:p w:rsidR="001C7DD4" w:rsidRPr="001C7DD4" w:rsidP="0032590D" w14:paraId="604B9ADE" w14:textId="3F507775">
      <w:pPr>
        <w:spacing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b/>
          <w:bCs/>
          <w:sz w:val="22"/>
          <w:szCs w:val="22"/>
        </w:rPr>
        <w:t>Parágrafo único: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32590D">
        <w:rPr>
          <w:rFonts w:ascii="Courier New" w:hAnsi="Courier New" w:cs="Courier New"/>
          <w:sz w:val="22"/>
          <w:szCs w:val="22"/>
        </w:rPr>
        <w:t>Na hipótese prevista no § 4º do art. 2º, o recolhimento da primeira prestação dos honorários advocatícios de sucumbência será suficiente, quanto à obrigação honorária, para que o Município requeira a suspensão da execução fiscal, dispensada sua quitação integral antecipada, sem prejuízo do recolhimento das custas processuais e/ou cartorárias exigíveis, do pagamento das demais prestações e da apreciação do requerimento pelo juízo competente.</w:t>
      </w:r>
      <w:r w:rsidRPr="001C7DD4">
        <w:rPr>
          <w:rFonts w:ascii="Courier New" w:hAnsi="Courier New" w:cs="Courier New"/>
          <w:sz w:val="22"/>
          <w:szCs w:val="22"/>
        </w:rPr>
        <w:t>”.</w:t>
      </w:r>
    </w:p>
    <w:p w:rsidR="001C7DD4" w:rsidRPr="001C7DD4" w:rsidP="0032590D" w14:paraId="4F812ADD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841A3" w:rsidRPr="001C7DD4" w:rsidP="001C7DD4" w14:paraId="7399E851" w14:textId="35C16B65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1C7DD4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1C7DD4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1C7DD4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1C7DD4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1C7DD4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1C7DD4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1C7DD4">
        <w:rPr>
          <w:rFonts w:ascii="Courier New" w:hAnsi="Courier New" w:cs="Courier New"/>
          <w:i/>
          <w:iCs/>
          <w:sz w:val="22"/>
          <w:szCs w:val="22"/>
        </w:rPr>
        <w:t>16 de outubro de 2026</w:t>
      </w:r>
      <w:r w:rsidRPr="001C7DD4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1C7DD4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2841A3" w:rsidRPr="001C7DD4" w:rsidP="007F4EEB" w14:paraId="54366B0D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</w:p>
    <w:p w:rsidR="00465074" w:rsidRPr="002A71BE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2A71BE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2A71BE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2A71BE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2A71BE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2A71BE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2A71BE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26817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1BE">
        <w:rPr>
          <w:rFonts w:ascii="Courier New" w:hAnsi="Courier New" w:cs="Courier New"/>
          <w:sz w:val="22"/>
          <w:szCs w:val="22"/>
        </w:rPr>
        <w:br w:type="page"/>
      </w:r>
    </w:p>
    <w:p w:rsidR="001C7DD4" w:rsidRPr="006D7617" w:rsidP="001C7DD4" w14:paraId="080D3073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6D7617">
        <w:rPr>
          <w:rFonts w:ascii="Courier New" w:hAnsi="Courier New" w:cs="Courier New"/>
          <w:b/>
          <w:bCs/>
          <w:u w:val="single"/>
        </w:rPr>
        <w:t>JUSTIFICAÇÃO</w:t>
      </w:r>
    </w:p>
    <w:p w:rsidR="001C7DD4" w:rsidRPr="006D7617" w:rsidP="001C7DD4" w14:paraId="7D086432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32590D" w:rsidRPr="0032590D" w:rsidP="0032590D" w14:paraId="4C14B1F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sz w:val="22"/>
          <w:szCs w:val="22"/>
        </w:rPr>
        <w:t>A presente Emenda tem por finalidade permitir que os honorários advocatícios de sucumbência devidos aos advogados públicos municipais sejam parcelados em condições correspondentes às estabelecidas para o débito principal, assegurando o recolhimento proporcional dos valores e preservando integralmente os direitos dos titulares da verba honorária.</w:t>
      </w:r>
    </w:p>
    <w:p w:rsidR="0032590D" w:rsidRPr="0032590D" w:rsidP="0032590D" w14:paraId="6D180F7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sz w:val="22"/>
          <w:szCs w:val="22"/>
        </w:rPr>
        <w:t>O Projeto de Lei nº 97/2026 institui mecanismos destinados a facilitar a regularização de débitos municipais, mediante parcelamentos e reparcelamentos em condições diferenciadas. Entretanto, seu art. 11 condiciona a suspensão das execuções fiscais ao recolhimento das custas processuais e/ou cartorárias e dos honorários advocatícios, sem estabelecer possibilidade expressa de parcelamento destes últimos.</w:t>
      </w:r>
    </w:p>
    <w:p w:rsidR="0032590D" w:rsidRPr="0032590D" w:rsidP="0032590D" w14:paraId="4F6E322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sz w:val="22"/>
          <w:szCs w:val="22"/>
        </w:rPr>
        <w:t>Tal exigência pode comprometer a efetividade da própria política de recuperação fiscal. O contribuinte que não dispõe de recursos para liquidar integralmente seu débito pode encontrar dificuldades semelhantes para recolher antecipadamente a totalidade dos honorários, ainda que possua condições de cumprir regularmente o parcelamento da dívida principal.</w:t>
      </w:r>
    </w:p>
    <w:p w:rsidR="0032590D" w:rsidRPr="0032590D" w:rsidP="0032590D" w14:paraId="6D2987BC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sz w:val="22"/>
          <w:szCs w:val="22"/>
        </w:rPr>
        <w:t>A Emenda busca superar essa dificuldade sem afastar a obrigação de pagamento dos honorários ou reduzir os direitos dos profissionais beneficiários. Propõe-se que a verba sucumbencial seja recolhida proporcionalmente às prestações efetivamente pagas, respeitados os mesmos vencimentos do débito principal e preservado o montante integral devido.</w:t>
      </w:r>
    </w:p>
    <w:p w:rsidR="0032590D" w:rsidRPr="0032590D" w:rsidP="0032590D" w14:paraId="2C6760BC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sz w:val="22"/>
          <w:szCs w:val="22"/>
        </w:rPr>
        <w:t>A solução encontra fundamento no art. 85, § 14, da Lei Federal nº 13.105/2015, Código de Processo Civil, que reconhece a natureza alimentar dos honorários advocatícios e sua titularidade profissional. O § 19 do mesmo artigo prevê o recebimento de honorários de sucumbência pelos advogados públicos, nos termos da lei. O art. 23 da Lei Federal nº 8.906/1994, Estatuto da Advocacia, por sua vez, reconhece a titularidade da verba honorária e o direito autônomo à sua execução.</w:t>
      </w:r>
    </w:p>
    <w:p w:rsidR="0032590D" w:rsidRPr="0032590D" w:rsidP="0032590D" w14:paraId="5CA8B84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sz w:val="22"/>
          <w:szCs w:val="22"/>
        </w:rPr>
        <w:t>No âmbito municipal, a Lei nº 6.423, de 7 de abril de 2022, regulamenta especificamente os honorários sucumbenciais atribuídos nos processos em que o Município de Mogi Mirim figure como parte, estabelecendo sua titularidade, recolhimento por guia própria, depósito em conta específica e critérios de distribuição e repasse aos advogados públicos beneficiários.</w:t>
      </w:r>
    </w:p>
    <w:p w:rsidR="0032590D" w:rsidRPr="0032590D" w:rsidP="0032590D" w14:paraId="620569B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sz w:val="22"/>
          <w:szCs w:val="22"/>
        </w:rPr>
        <w:t xml:space="preserve">Por essa razão, a presente Emenda não pretende modificar o regime de titularidade ou de distribuição desses recursos, tampouco conferir ao Município disponibilidade irrestrita sobre verba pertencente aos profissionais. Busca-se apenas disciplinar a possibilidade de </w:t>
      </w:r>
      <w:r w:rsidRPr="0032590D">
        <w:rPr>
          <w:rFonts w:ascii="Courier New" w:hAnsi="Courier New" w:cs="Courier New"/>
          <w:sz w:val="22"/>
          <w:szCs w:val="22"/>
        </w:rPr>
        <w:t>pagamento parcelado, preservadas as garantias estabelecidas pela legislação federal e municipal.</w:t>
      </w:r>
    </w:p>
    <w:p w:rsidR="0032590D" w:rsidRPr="0032590D" w:rsidP="0032590D" w14:paraId="55D6721E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sz w:val="22"/>
          <w:szCs w:val="22"/>
        </w:rPr>
        <w:t xml:space="preserve">A jurisprudência do Superior Tribunal de Justiça também reconhece a importância do adequado tratamento dos honorários nos programas de regularização fiscal. No julgamento do Tema Repetitivo nº 1.317, relativo ao REsp nº 2.158.602/MG, a Primeira Seção decidiu que a desistência ou renúncia em embargos à execução fiscal, para adesão </w:t>
      </w:r>
      <w:r w:rsidRPr="0032590D">
        <w:rPr>
          <w:rFonts w:ascii="Courier New" w:hAnsi="Courier New" w:cs="Courier New"/>
          <w:sz w:val="22"/>
          <w:szCs w:val="22"/>
        </w:rPr>
        <w:t>a</w:t>
      </w:r>
      <w:r w:rsidRPr="0032590D">
        <w:rPr>
          <w:rFonts w:ascii="Courier New" w:hAnsi="Courier New" w:cs="Courier New"/>
          <w:sz w:val="22"/>
          <w:szCs w:val="22"/>
        </w:rPr>
        <w:t xml:space="preserve"> programa que já contempla a verba honorária pela cobrança da dívida pública, não autoriza nova condenação em honorários advocatícios pela mesma cobrança.</w:t>
      </w:r>
    </w:p>
    <w:p w:rsidR="0032590D" w:rsidRPr="0032590D" w:rsidP="0032590D" w14:paraId="4B76C2A8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sz w:val="22"/>
          <w:szCs w:val="22"/>
        </w:rPr>
        <w:t>Embora o precedente não estabeleça obrigação de parcelamento dos honorários, demonstra a relevância de disciplinar expressamente seu tratamento nos acordos de regularização, evitando cobranças duplicadas e preservando a segurança jurídica dos contribuintes e dos titulares dos créditos.</w:t>
      </w:r>
    </w:p>
    <w:p w:rsidR="0032590D" w:rsidRPr="0032590D" w:rsidP="0032590D" w14:paraId="485ABCA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sz w:val="22"/>
          <w:szCs w:val="22"/>
        </w:rPr>
        <w:t>Também se propõe o acréscimo de parágrafo único ao art. 11, indispensável para compatibilizar o parcelamento da verba honorária com a disciplina de suspensão das execuções fiscais. Sem essa previsão, a exigência de recolhimento antecipado prevista no dispositivo poderia esvaziar a finalidade da alteração introduzida no art. 2º.</w:t>
      </w:r>
    </w:p>
    <w:p w:rsidR="0032590D" w:rsidRPr="0032590D" w:rsidP="0032590D" w14:paraId="5518F7F4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sz w:val="22"/>
          <w:szCs w:val="22"/>
        </w:rPr>
        <w:t>A redação estabelece que o pagamento da primeira prestação dos honorários será suficiente, quanto a essa obrigação, para fundamentar o requerimento municipal de suspensão da execução fiscal, preservando a competência do Poder Judiciário para apreciar o pedido, a exigibilidade das custas pertinentes e a obrigação de adimplemento das parcelas posteriores.</w:t>
      </w:r>
    </w:p>
    <w:p w:rsidR="0032590D" w:rsidRPr="0032590D" w:rsidP="0032590D" w14:paraId="5D670774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sz w:val="22"/>
          <w:szCs w:val="22"/>
        </w:rPr>
        <w:t>Importa ressaltar que a Emenda não concede desconto, anistia ou remissão sobre os honorários sucumbenciais, não altera seus critérios legais de distribuição e não cria novos cargos, órgãos ou benefícios remuneratórios. Limita-se à disciplina das condições de pagamento, observados os direitos dos beneficiários e a legislação aplicável.</w:t>
      </w:r>
    </w:p>
    <w:p w:rsidR="0009389F" w:rsidP="001C7DD4" w14:paraId="68F1CF8B" w14:textId="3894B85F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2590D">
        <w:rPr>
          <w:rFonts w:ascii="Courier New" w:hAnsi="Courier New" w:cs="Courier New"/>
          <w:sz w:val="22"/>
          <w:szCs w:val="22"/>
        </w:rPr>
        <w:t>Assim, a medida busca harmonizar a efetividade dos mecanismos de regularização fiscal com a proteção da natureza alimentar dos honorários advocatícios, favorecendo a recuperação dos créditos municipais sem afastar os direitos legalmente assegurados aos advogados públicos.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3BF6"/>
    <w:rsid w:val="00056D9C"/>
    <w:rsid w:val="0006717F"/>
    <w:rsid w:val="00076553"/>
    <w:rsid w:val="0009389F"/>
    <w:rsid w:val="000958A6"/>
    <w:rsid w:val="000A6F2E"/>
    <w:rsid w:val="000B08D8"/>
    <w:rsid w:val="000B4EDA"/>
    <w:rsid w:val="000B5735"/>
    <w:rsid w:val="000C7B42"/>
    <w:rsid w:val="000D145E"/>
    <w:rsid w:val="000E658D"/>
    <w:rsid w:val="000F672F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1353"/>
    <w:rsid w:val="00182771"/>
    <w:rsid w:val="00183AF0"/>
    <w:rsid w:val="001949B0"/>
    <w:rsid w:val="001959EF"/>
    <w:rsid w:val="001A39DE"/>
    <w:rsid w:val="001B42BA"/>
    <w:rsid w:val="001C3AA6"/>
    <w:rsid w:val="001C7DD4"/>
    <w:rsid w:val="00200F1C"/>
    <w:rsid w:val="002210E8"/>
    <w:rsid w:val="00226862"/>
    <w:rsid w:val="002403E6"/>
    <w:rsid w:val="00241452"/>
    <w:rsid w:val="0024425A"/>
    <w:rsid w:val="00245209"/>
    <w:rsid w:val="00257241"/>
    <w:rsid w:val="0027575E"/>
    <w:rsid w:val="002841A3"/>
    <w:rsid w:val="00296637"/>
    <w:rsid w:val="00296EA6"/>
    <w:rsid w:val="00297907"/>
    <w:rsid w:val="002A71BE"/>
    <w:rsid w:val="002B2E59"/>
    <w:rsid w:val="002B572E"/>
    <w:rsid w:val="002C14C0"/>
    <w:rsid w:val="002C4498"/>
    <w:rsid w:val="002D1B41"/>
    <w:rsid w:val="002D25FF"/>
    <w:rsid w:val="002D2C82"/>
    <w:rsid w:val="002D55C4"/>
    <w:rsid w:val="002D68CE"/>
    <w:rsid w:val="002F76C7"/>
    <w:rsid w:val="00307AFD"/>
    <w:rsid w:val="003226F4"/>
    <w:rsid w:val="0032590D"/>
    <w:rsid w:val="00327030"/>
    <w:rsid w:val="003274BA"/>
    <w:rsid w:val="00332D04"/>
    <w:rsid w:val="0035352F"/>
    <w:rsid w:val="0035370A"/>
    <w:rsid w:val="00355277"/>
    <w:rsid w:val="00374AF7"/>
    <w:rsid w:val="00386202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088A"/>
    <w:rsid w:val="00401038"/>
    <w:rsid w:val="00402140"/>
    <w:rsid w:val="00416282"/>
    <w:rsid w:val="00416A07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7FEA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D7617"/>
    <w:rsid w:val="006E31FD"/>
    <w:rsid w:val="006F1586"/>
    <w:rsid w:val="006F3588"/>
    <w:rsid w:val="00702152"/>
    <w:rsid w:val="00704898"/>
    <w:rsid w:val="00715C2B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7418"/>
    <w:rsid w:val="007571D2"/>
    <w:rsid w:val="0077364A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9DD"/>
    <w:rsid w:val="007C7F52"/>
    <w:rsid w:val="007E3DC3"/>
    <w:rsid w:val="007F0544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63FC7"/>
    <w:rsid w:val="008842AF"/>
    <w:rsid w:val="008844E4"/>
    <w:rsid w:val="008871E7"/>
    <w:rsid w:val="008A0234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71146"/>
    <w:rsid w:val="00973DE8"/>
    <w:rsid w:val="00974628"/>
    <w:rsid w:val="00983A31"/>
    <w:rsid w:val="00986774"/>
    <w:rsid w:val="00991752"/>
    <w:rsid w:val="0099396E"/>
    <w:rsid w:val="00996493"/>
    <w:rsid w:val="009974FC"/>
    <w:rsid w:val="009A2AF3"/>
    <w:rsid w:val="009A34E3"/>
    <w:rsid w:val="009B1393"/>
    <w:rsid w:val="009B5BE4"/>
    <w:rsid w:val="009D2B34"/>
    <w:rsid w:val="009F6628"/>
    <w:rsid w:val="00A102FD"/>
    <w:rsid w:val="00A23C0E"/>
    <w:rsid w:val="00A26EE2"/>
    <w:rsid w:val="00A331D9"/>
    <w:rsid w:val="00A442EC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2FBB"/>
    <w:rsid w:val="00A83754"/>
    <w:rsid w:val="00A946B4"/>
    <w:rsid w:val="00A95CC5"/>
    <w:rsid w:val="00A97856"/>
    <w:rsid w:val="00A97D4E"/>
    <w:rsid w:val="00AA44DC"/>
    <w:rsid w:val="00AB501C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920"/>
    <w:rsid w:val="00B36175"/>
    <w:rsid w:val="00B41012"/>
    <w:rsid w:val="00B50D10"/>
    <w:rsid w:val="00B61FB6"/>
    <w:rsid w:val="00B62CC6"/>
    <w:rsid w:val="00B638BB"/>
    <w:rsid w:val="00B646A7"/>
    <w:rsid w:val="00B75636"/>
    <w:rsid w:val="00B859E6"/>
    <w:rsid w:val="00B85B25"/>
    <w:rsid w:val="00B90DF4"/>
    <w:rsid w:val="00B97728"/>
    <w:rsid w:val="00BB148C"/>
    <w:rsid w:val="00BB1C40"/>
    <w:rsid w:val="00BD12F2"/>
    <w:rsid w:val="00BD21C3"/>
    <w:rsid w:val="00BE015C"/>
    <w:rsid w:val="00BE07EE"/>
    <w:rsid w:val="00BE3319"/>
    <w:rsid w:val="00BE342B"/>
    <w:rsid w:val="00BE50D2"/>
    <w:rsid w:val="00BF1EFD"/>
    <w:rsid w:val="00C04FE4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D168E9"/>
    <w:rsid w:val="00D208C4"/>
    <w:rsid w:val="00D21E34"/>
    <w:rsid w:val="00D34085"/>
    <w:rsid w:val="00D464E5"/>
    <w:rsid w:val="00D51F2D"/>
    <w:rsid w:val="00D523DE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7147B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F01200"/>
    <w:rsid w:val="00F05A3A"/>
    <w:rsid w:val="00F34345"/>
    <w:rsid w:val="00F41235"/>
    <w:rsid w:val="00F518ED"/>
    <w:rsid w:val="00F54BBC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7215"/>
    <w:rsid w:val="00FF1680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F9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2000</TotalTime>
  <Pages>3</Pages>
  <Words>977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95</cp:revision>
  <cp:lastPrinted>2026-10-16T16:46:34Z</cp:lastPrinted>
  <dcterms:created xsi:type="dcterms:W3CDTF">2026-01-09T01:35:00Z</dcterms:created>
  <dcterms:modified xsi:type="dcterms:W3CDTF">2026-10-16T15:53:00Z</dcterms:modified>
</cp:coreProperties>
</file>