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7D5A" w:rsidP="009A1FFA">
      <w:pPr>
        <w:spacing w:line="360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8615FD" w:rsidRPr="009A1FFA" w:rsidP="00272CD9">
      <w:pPr>
        <w:spacing w:line="360" w:lineRule="auto"/>
        <w:rPr>
          <w:sz w:val="24"/>
          <w:szCs w:val="24"/>
        </w:rPr>
      </w:pPr>
      <w:r w:rsidRPr="009A1FFA">
        <w:rPr>
          <w:b/>
          <w:bCs/>
          <w:iCs/>
          <w:color w:val="000000"/>
          <w:sz w:val="24"/>
          <w:szCs w:val="24"/>
          <w:shd w:val="clear" w:color="auto" w:fill="FFFFFF"/>
        </w:rPr>
        <w:t>Projeto de Lei</w:t>
      </w:r>
      <w:r w:rsidRPr="009A1FFA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7606CC">
        <w:rPr>
          <w:b/>
          <w:bCs/>
          <w:iCs/>
          <w:color w:val="000000"/>
          <w:sz w:val="24"/>
          <w:szCs w:val="24"/>
          <w:shd w:val="clear" w:color="auto" w:fill="FFFFFF"/>
        </w:rPr>
        <w:t>80</w:t>
      </w:r>
      <w:r w:rsidRPr="009A1FFA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>/202</w:t>
      </w:r>
      <w:r w:rsidR="005C7357">
        <w:rPr>
          <w:b/>
          <w:bCs/>
          <w:iCs/>
          <w:color w:val="000000"/>
          <w:sz w:val="24"/>
          <w:szCs w:val="24"/>
          <w:shd w:val="clear" w:color="auto" w:fill="FFFFFF"/>
        </w:rPr>
        <w:t>6</w:t>
      </w:r>
    </w:p>
    <w:p w:rsidR="008615FD" w:rsidP="00272CD9">
      <w:pPr>
        <w:pStyle w:val="BodyText"/>
        <w:spacing w:after="0" w:line="360" w:lineRule="auto"/>
        <w:contextualSpacing/>
        <w:rPr>
          <w:b/>
          <w:color w:val="000000"/>
          <w:sz w:val="24"/>
          <w:szCs w:val="24"/>
        </w:rPr>
      </w:pPr>
      <w:r w:rsidRPr="009A1FFA">
        <w:rPr>
          <w:b/>
          <w:color w:val="000000"/>
          <w:sz w:val="24"/>
          <w:szCs w:val="24"/>
        </w:rPr>
        <w:t xml:space="preserve">Processo nº </w:t>
      </w:r>
      <w:r w:rsidR="007606CC">
        <w:rPr>
          <w:b/>
          <w:color w:val="000000"/>
          <w:sz w:val="24"/>
          <w:szCs w:val="24"/>
        </w:rPr>
        <w:t>97</w:t>
      </w:r>
      <w:r w:rsidRPr="009A1FFA">
        <w:rPr>
          <w:b/>
          <w:color w:val="000000"/>
          <w:sz w:val="24"/>
          <w:szCs w:val="24"/>
        </w:rPr>
        <w:t>/202</w:t>
      </w:r>
      <w:r w:rsidR="005C7357">
        <w:rPr>
          <w:b/>
          <w:color w:val="000000"/>
          <w:sz w:val="24"/>
          <w:szCs w:val="24"/>
        </w:rPr>
        <w:t>6</w:t>
      </w:r>
    </w:p>
    <w:p w:rsidR="000304E0" w:rsidP="005C7357">
      <w:pPr>
        <w:pStyle w:val="BodyText"/>
        <w:spacing w:after="0" w:line="360" w:lineRule="auto"/>
        <w:contextualSpacing/>
        <w:rPr>
          <w:b/>
          <w:color w:val="000000"/>
          <w:sz w:val="24"/>
          <w:szCs w:val="24"/>
        </w:rPr>
      </w:pPr>
    </w:p>
    <w:p w:rsidR="00444781" w:rsidP="005C7357">
      <w:pPr>
        <w:pStyle w:val="BodyText"/>
        <w:spacing w:before="240"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PARECER </w:t>
      </w:r>
      <w:r w:rsidRPr="009A1FFA">
        <w:rPr>
          <w:b/>
          <w:bCs/>
          <w:sz w:val="24"/>
          <w:szCs w:val="24"/>
        </w:rPr>
        <w:t>DA COMISS</w:t>
      </w:r>
      <w:r w:rsidR="00D06BC4">
        <w:rPr>
          <w:b/>
          <w:bCs/>
          <w:sz w:val="24"/>
          <w:szCs w:val="24"/>
        </w:rPr>
        <w:t xml:space="preserve">ÃO </w:t>
      </w:r>
      <w:r w:rsidR="00272CD9">
        <w:rPr>
          <w:b/>
          <w:bCs/>
          <w:sz w:val="24"/>
          <w:szCs w:val="24"/>
        </w:rPr>
        <w:t xml:space="preserve">DE </w:t>
      </w:r>
      <w:r w:rsidRPr="009A1FFA">
        <w:rPr>
          <w:b/>
          <w:bCs/>
          <w:sz w:val="24"/>
          <w:szCs w:val="24"/>
        </w:rPr>
        <w:t>FINANÇAS E ORÇAMENTO</w:t>
      </w:r>
      <w:r w:rsidR="00272CD9">
        <w:rPr>
          <w:b/>
          <w:bCs/>
          <w:sz w:val="24"/>
          <w:szCs w:val="24"/>
        </w:rPr>
        <w:t>.</w:t>
      </w:r>
    </w:p>
    <w:p w:rsidR="000304E0" w:rsidP="005C7357">
      <w:pPr>
        <w:pStyle w:val="BodyText"/>
        <w:spacing w:before="240" w:after="0"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Institui o </w:t>
      </w:r>
      <w:r w:rsidR="007606CC">
        <w:rPr>
          <w:i/>
          <w:sz w:val="24"/>
          <w:szCs w:val="24"/>
        </w:rPr>
        <w:t>Programa Municipal “Protocolo Não se Cale – Não e Não” – no âmbito do Município de Mogi Mirim, destinado a prevenção e ao enfrentamento da violência contra a mulher em estabelecimento de entretenimento.</w:t>
      </w:r>
    </w:p>
    <w:p w:rsidR="007606CC" w:rsidRPr="007606CC" w:rsidP="005C7357">
      <w:pPr>
        <w:pStyle w:val="BodyText"/>
        <w:spacing w:before="240" w:after="0" w:line="360" w:lineRule="auto"/>
        <w:rPr>
          <w:b/>
          <w:bCs/>
          <w:sz w:val="24"/>
          <w:szCs w:val="24"/>
        </w:rPr>
      </w:pPr>
      <w:r w:rsidRPr="007606CC">
        <w:rPr>
          <w:rStyle w:val="MdStrong"/>
          <w:rFonts w:eastAsiaTheme="majorEastAsia"/>
          <w:sz w:val="24"/>
          <w:szCs w:val="24"/>
        </w:rPr>
        <w:t>Relator:</w:t>
      </w:r>
      <w:r w:rsidRPr="007606CC">
        <w:rPr>
          <w:sz w:val="24"/>
          <w:szCs w:val="24"/>
        </w:rPr>
        <w:t xml:space="preserve"> Vereador </w:t>
      </w:r>
      <w:r>
        <w:rPr>
          <w:sz w:val="24"/>
          <w:szCs w:val="24"/>
        </w:rPr>
        <w:t>Marcio Dener Coran (</w:t>
      </w:r>
      <w:r w:rsidRPr="007606CC">
        <w:rPr>
          <w:sz w:val="24"/>
          <w:szCs w:val="24"/>
        </w:rPr>
        <w:t>Sargento Coran</w:t>
      </w:r>
      <w:r>
        <w:rPr>
          <w:sz w:val="24"/>
          <w:szCs w:val="24"/>
        </w:rPr>
        <w:t>)</w:t>
      </w:r>
      <w:r w:rsidRPr="007606CC">
        <w:rPr>
          <w:sz w:val="24"/>
          <w:szCs w:val="24"/>
        </w:rPr>
        <w:t xml:space="preserve"> — Vice-Presidente da Comissão de Finanças e Orçamento</w:t>
      </w:r>
    </w:p>
    <w:p w:rsidR="00444781" w:rsidP="00E14370">
      <w:pPr>
        <w:spacing w:before="100" w:beforeAutospacing="1" w:after="100" w:afterAutospacing="1" w:line="276" w:lineRule="auto"/>
        <w:ind w:firstLine="708"/>
        <w:rPr>
          <w:b/>
          <w:bCs/>
          <w:sz w:val="24"/>
          <w:szCs w:val="24"/>
        </w:rPr>
      </w:pPr>
      <w:r w:rsidRPr="009A1FFA">
        <w:rPr>
          <w:b/>
          <w:bCs/>
          <w:sz w:val="24"/>
          <w:szCs w:val="24"/>
        </w:rPr>
        <w:t>EXPOSIÇÃO DA MATÉRIA EM EXAME</w:t>
      </w:r>
      <w:r w:rsidR="00807843">
        <w:rPr>
          <w:b/>
          <w:bCs/>
          <w:sz w:val="24"/>
          <w:szCs w:val="24"/>
        </w:rPr>
        <w:t xml:space="preserve"> – RELATÓRIO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 xml:space="preserve">Submete-se à apreciação da Comissão de Finanças e Orçamento o Projeto de Lei nº 80/2026, de autoria do Chefe do Poder Executivo, que institui, no Município de Mogi Mirim, o Programa Municipal </w:t>
      </w:r>
      <w:r w:rsidRPr="00C30B79">
        <w:rPr>
          <w:u w:val="single"/>
        </w:rPr>
        <w:t>“Protocolo Não Se Cale – Não é Não”</w:t>
      </w:r>
      <w:r>
        <w:t>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 xml:space="preserve">A proposição estabelece diretrizes preventivas e de acolhimento para situações de constrangimento, assédio, agressão sexual ou risco à integridade de mulheres em espaços públicos e privados de lazer e entretenimento. Entre as medidas previstas, destacam-se a capacitação de funcionários dos estabelecimentos aderentes, a adoção de procedimentos de acolhimento e encaminhamento, a divulgação de canais oficiais de denúncia, a articulação com a rede municipal de proteção, a criação do Selo </w:t>
      </w:r>
      <w:r w:rsidRPr="00C30B79">
        <w:rPr>
          <w:u w:val="single"/>
        </w:rPr>
        <w:t>“Não Se Cale – Não é Não”</w:t>
      </w:r>
      <w:r>
        <w:t xml:space="preserve"> </w:t>
      </w:r>
      <w:r>
        <w:t>e</w:t>
      </w:r>
      <w:r>
        <w:t xml:space="preserve"> o monitoramento do Programa por indicadores de avaliação.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O texto original prevê, ainda, que as despesas decorrentes da execução da lei correrão por conta de dotações orçamentárias próprias, suplementadas, se necessário, observadas as normas legais aplicáveis.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Integram a instrução do processo, entre outros documentos, a Mensagem nº 047/2026, a manifestação da Secretaria Municipal de Negócios Jurídicos, a informação da Guarda Civil Municipal e o Despacho nº 58/2026 da Diretoria de Planejamento e Orçamento. Também consta dos autos estimativa simplificada de despesas, segundo a qual o Programa poderá ser executado com a estrutura administrativa já existente, sem criação de cargos, novas contratações ou implantação de sistemas adicionais.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 xml:space="preserve">O processo registra custo estimado entre </w:t>
      </w:r>
      <w:r>
        <w:rPr>
          <w:rStyle w:val="MdStrong"/>
          <w:rFonts w:eastAsiaTheme="majorEastAsia"/>
        </w:rPr>
        <w:t>R$ 0,00 e R$ 600,00 anuais</w:t>
      </w:r>
      <w:r>
        <w:t xml:space="preserve">, considerando a eventual impressão de aproximadamente </w:t>
      </w:r>
      <w:r w:rsidRPr="007606CC">
        <w:rPr>
          <w:b/>
        </w:rPr>
        <w:t>1.000 unidades de material informativo</w:t>
      </w:r>
      <w:r>
        <w:t xml:space="preserve">, ao custo unitário estimado entre </w:t>
      </w:r>
      <w:r w:rsidRPr="007606CC">
        <w:rPr>
          <w:b/>
        </w:rPr>
        <w:t>R$ 0,50 e R$ 0,60</w:t>
      </w:r>
      <w:r>
        <w:t xml:space="preserve">. As capacitações seriam realizadas com a estrutura </w:t>
      </w:r>
      <w:r>
        <w:t>existente; as campanhas educativas poderiam ser absorvidas por dotações já previstas; e o mecanismo de acionamento emergencial mencionado no projeto já estaria implantado no Município.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O Despacho nº 58/2026 da Diretoria de Planejamento e Orçamento conclui não haver óbice, naquele momento, ao encaminhamento do projeto à Câmara Municipal, considerando a informação de que não haveria aumento de despesa relevante, nos termos dos arts. 15, 16 e 17 da Lei Complementar Federal nº 101/2000 — Lei de Responsabilidade Fiscal.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A matéria foi encaminhada às Comissões Permanentes competentes, nos termos da Resolução nº 276, de 9 de novembro de 2010 — Regimento Interno da Câmara Municipal de Mogi Mirim. O Projeto também recebeu análise da Comissão de Justiça e Redação, com proposição de ajustes relacionados à proteção de dados pessoais, ao contraditório e à ampla defesa, ao prazo de regulamentação e a outros aperfeiçoamentos de redação e alcance normativo. Consta, ainda, emenda destinada a distinguir as obrigações gerais dos estabelecimentos da adesão facultativa ao Programa e ao recebimento do Selo, bem como emenda para tornar obrigatória a elaboração de relatórios periódicos de monitoramento.</w:t>
      </w:r>
    </w:p>
    <w:p w:rsidR="005C7357" w:rsidRPr="00F140AA" w:rsidP="00E14370">
      <w:pPr>
        <w:spacing w:before="100" w:beforeAutospacing="1" w:after="100" w:afterAutospacing="1" w:line="276" w:lineRule="auto"/>
        <w:ind w:firstLine="708"/>
      </w:pPr>
      <w:r w:rsidRPr="008D06EA">
        <w:rPr>
          <w:b/>
          <w:sz w:val="24"/>
          <w:szCs w:val="24"/>
        </w:rPr>
        <w:t>COMISSÃO DE FINANÇAS E ORÇAMENTO</w:t>
      </w:r>
      <w:r w:rsidR="00B01DD0">
        <w:rPr>
          <w:b/>
          <w:sz w:val="24"/>
          <w:szCs w:val="24"/>
        </w:rPr>
        <w:t xml:space="preserve"> </w:t>
      </w:r>
      <w:r w:rsidR="00F140AA">
        <w:rPr>
          <w:b/>
          <w:sz w:val="24"/>
          <w:szCs w:val="24"/>
        </w:rPr>
        <w:t>–</w:t>
      </w:r>
      <w:r w:rsidRPr="008D06EA">
        <w:rPr>
          <w:b/>
          <w:sz w:val="24"/>
          <w:szCs w:val="24"/>
        </w:rPr>
        <w:t xml:space="preserve"> COMPET</w:t>
      </w:r>
      <w:r w:rsidR="00196CA8">
        <w:rPr>
          <w:b/>
          <w:sz w:val="24"/>
          <w:szCs w:val="24"/>
        </w:rPr>
        <w:t>Ê</w:t>
      </w:r>
      <w:r w:rsidRPr="008D06EA">
        <w:rPr>
          <w:b/>
          <w:sz w:val="24"/>
          <w:szCs w:val="24"/>
        </w:rPr>
        <w:t>NCIA</w:t>
      </w:r>
      <w:r w:rsidR="00F140AA">
        <w:rPr>
          <w:b/>
          <w:sz w:val="24"/>
          <w:szCs w:val="24"/>
        </w:rPr>
        <w:t xml:space="preserve"> REGIMENTAL DA COMISSÃO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A Comissão de Finanças e Orçamento exerce sua análise sobre os aspectos financeiros, orçamentários, patrimoniais e fiscais da proposição, sem substituir a apreciação de mérito social, administrativo ou jurídico atribuída às demais Comissões Permanentes.</w:t>
      </w:r>
    </w:p>
    <w:p w:rsidR="007606CC" w:rsidP="007606CC">
      <w:pPr>
        <w:pStyle w:val="MdParagraph"/>
        <w:spacing w:line="276" w:lineRule="auto"/>
        <w:ind w:firstLine="708"/>
        <w:jc w:val="both"/>
      </w:pPr>
      <w:r>
        <w:t>A análise observa o procedimento previsto na Resolução nº 276, de 9 de novembro de 2010, Regimento Interno da Câmara Municipal de Mogi Mirim, especialmente as regras relativas à tramitação pelas Comissões Permanentes, à designação de relator, à elaboração do voto e à formalização do parecer da Comissão. A página institucional da Câmara identifica a Resolução nº 276/2010 como o Regimento Interno vigente para a disciplina regimental da Casa.</w:t>
      </w:r>
    </w:p>
    <w:p w:rsidR="007606CC" w:rsidP="007606CC">
      <w:pPr>
        <w:pStyle w:val="MdParagraph"/>
        <w:ind w:firstLine="708"/>
      </w:pPr>
      <w:r>
        <w:t>A Comissão, portanto, deve verificar se a proposição:</w:t>
      </w:r>
    </w:p>
    <w:p w:rsidR="007606CC" w:rsidP="007606CC">
      <w:pPr>
        <w:pStyle w:val="MdSpace"/>
        <w:spacing w:after="60"/>
      </w:pPr>
    </w:p>
    <w:p w:rsidR="007606CC" w:rsidP="007606CC">
      <w:pPr>
        <w:pStyle w:val="MdListItem"/>
        <w:numPr>
          <w:ilvl w:val="0"/>
          <w:numId w:val="13"/>
        </w:numPr>
        <w:spacing w:line="276" w:lineRule="auto"/>
      </w:pPr>
      <w:r>
        <w:t>cria</w:t>
      </w:r>
      <w:r>
        <w:t xml:space="preserve"> ou aumenta despesa pública;</w:t>
      </w:r>
    </w:p>
    <w:p w:rsidR="007606CC" w:rsidP="007606CC">
      <w:pPr>
        <w:pStyle w:val="MdListItem"/>
        <w:numPr>
          <w:ilvl w:val="0"/>
          <w:numId w:val="13"/>
        </w:numPr>
        <w:spacing w:line="276" w:lineRule="auto"/>
      </w:pPr>
      <w:r>
        <w:t>gera</w:t>
      </w:r>
      <w:r>
        <w:t xml:space="preserve"> obrigação de caráter continuado;</w:t>
      </w:r>
    </w:p>
    <w:p w:rsidR="007606CC" w:rsidP="007606CC">
      <w:pPr>
        <w:pStyle w:val="MdListItem"/>
        <w:numPr>
          <w:ilvl w:val="0"/>
          <w:numId w:val="13"/>
        </w:numPr>
        <w:spacing w:line="276" w:lineRule="auto"/>
      </w:pPr>
      <w:r>
        <w:t>possui</w:t>
      </w:r>
      <w:r>
        <w:t xml:space="preserve"> estimativa suficiente de impacto orçamentário-financeiro, quando exigível;</w:t>
      </w:r>
    </w:p>
    <w:p w:rsidR="007606CC" w:rsidP="007E6FDC">
      <w:pPr>
        <w:pStyle w:val="MdListItem"/>
        <w:numPr>
          <w:ilvl w:val="0"/>
          <w:numId w:val="13"/>
        </w:numPr>
        <w:spacing w:line="276" w:lineRule="auto"/>
        <w:jc w:val="both"/>
      </w:pPr>
      <w:r>
        <w:t>é</w:t>
      </w:r>
      <w:r>
        <w:t xml:space="preserve"> compatível com a Lei Orçamentária Anual, o Plano Plurianual e a Lei de Diretrizes Orçamentárias;</w:t>
      </w:r>
    </w:p>
    <w:p w:rsidR="007606CC" w:rsidP="007E6FDC">
      <w:pPr>
        <w:pStyle w:val="MdListItem"/>
        <w:numPr>
          <w:ilvl w:val="0"/>
          <w:numId w:val="13"/>
        </w:numPr>
        <w:spacing w:line="276" w:lineRule="auto"/>
        <w:jc w:val="both"/>
      </w:pPr>
      <w:r>
        <w:t>depende</w:t>
      </w:r>
      <w:r>
        <w:t xml:space="preserve"> de crédito adicional ou de outra providência orçamentária para sua execução; e</w:t>
      </w:r>
    </w:p>
    <w:p w:rsidR="007606CC" w:rsidP="007E6FDC">
      <w:pPr>
        <w:pStyle w:val="MdListItem"/>
        <w:numPr>
          <w:ilvl w:val="0"/>
          <w:numId w:val="13"/>
        </w:numPr>
        <w:spacing w:line="276" w:lineRule="auto"/>
        <w:jc w:val="both"/>
      </w:pPr>
      <w:r>
        <w:t>preserva</w:t>
      </w:r>
      <w:r>
        <w:t xml:space="preserve"> o equilíbrio fiscal, a legalidade da despesa e a responsabilidade na gestão dos recursos públicos.</w:t>
      </w:r>
    </w:p>
    <w:p w:rsidR="007E6FDC" w:rsidP="007E6FDC">
      <w:pPr>
        <w:pStyle w:val="MdListItem"/>
        <w:spacing w:line="276" w:lineRule="auto"/>
        <w:ind w:left="1068" w:firstLine="0"/>
        <w:jc w:val="both"/>
      </w:pPr>
    </w:p>
    <w:p w:rsidR="007E6FDC" w:rsidRPr="007E6FDC" w:rsidP="007E6FDC">
      <w:pPr>
        <w:pStyle w:val="MdListItem"/>
        <w:spacing w:line="276" w:lineRule="auto"/>
        <w:ind w:hanging="12"/>
        <w:jc w:val="both"/>
        <w:rPr>
          <w:b/>
        </w:rPr>
      </w:pPr>
      <w:r w:rsidRPr="007E6FDC">
        <w:rPr>
          <w:b/>
        </w:rPr>
        <w:t>Análise financeiro-orçamentário</w:t>
      </w:r>
    </w:p>
    <w:p w:rsidR="007E6FDC" w:rsidP="007E6FDC">
      <w:pPr>
        <w:pStyle w:val="MdListItem"/>
        <w:spacing w:line="276" w:lineRule="auto"/>
        <w:ind w:left="1068" w:firstLine="0"/>
        <w:jc w:val="both"/>
      </w:pPr>
    </w:p>
    <w:p w:rsidR="007E6FDC" w:rsidRPr="007E6FDC" w:rsidP="007E6FDC">
      <w:pPr>
        <w:pStyle w:val="MdListItem"/>
        <w:numPr>
          <w:ilvl w:val="0"/>
          <w:numId w:val="15"/>
        </w:numPr>
        <w:spacing w:line="276" w:lineRule="auto"/>
        <w:jc w:val="both"/>
        <w:rPr>
          <w:b/>
        </w:rPr>
      </w:pPr>
      <w:r w:rsidRPr="007E6FDC">
        <w:rPr>
          <w:b/>
        </w:rPr>
        <w:t>Conteúdo fiscal da preposição</w:t>
      </w:r>
    </w:p>
    <w:p w:rsidR="007E6FDC" w:rsidP="007E6FDC">
      <w:pPr>
        <w:pStyle w:val="MdParagraph"/>
        <w:spacing w:line="276" w:lineRule="auto"/>
        <w:ind w:firstLine="708"/>
        <w:jc w:val="both"/>
      </w:pPr>
      <w:r>
        <w:t>O Projeto de Lei nº 80/2026 possui natureza predominantemente programática e preventiva. Sua finalidade principal é organizar ações de orientação, capacitação, divulgação, articulação institucional e acolhimento, utilizando, conforme os documentos do processo, estruturas públicas já existentes, especialmente a Guarda Civil Municipal, a Patrulha Maria da Penha, a Secretaria Municipal de Segurança Pública e Defesa Civil e a Secretaria de Assistência Social.</w:t>
      </w:r>
    </w:p>
    <w:p w:rsidR="007E6FDC" w:rsidP="007E6FDC">
      <w:pPr>
        <w:pStyle w:val="MdParagraph"/>
        <w:spacing w:line="276" w:lineRule="auto"/>
        <w:ind w:firstLine="708"/>
        <w:jc w:val="both"/>
      </w:pPr>
      <w:r>
        <w:t>A proposição não cria secretaria, departamento, fundo, cargo, função pública, gratificação, benefício financeiro, subvenção, auxílio, isenção tributária, operação de crédito ou transferência obrigatória de recursos a particulares. Também não estabelece remuneração, contratação de pessoal ou aquisição obrigatória de equipamentos específicos como condição imediata de vigência da lei.</w:t>
      </w:r>
    </w:p>
    <w:p w:rsidR="007E6FDC" w:rsidP="007E6FDC">
      <w:pPr>
        <w:pStyle w:val="MdParagraph"/>
        <w:spacing w:line="276" w:lineRule="auto"/>
        <w:ind w:firstLine="708"/>
        <w:jc w:val="both"/>
      </w:pPr>
      <w:r>
        <w:t>A adesão formal ao Programa e a obtenção do Selo têm caráter facultativo. As obrigações de divulgação de informações e de comunicação às autoridades, por sua vez, dirigem-se aos estabelecimentos abrangidos e não representam, em princípio, despesa direta do Município. Eventuais custos dos particulares não integram a despesa orçamentária municipal, sem prejuízo da necessidade de a regulamentação observar proporcionalidade e razoabilidade.</w:t>
      </w:r>
    </w:p>
    <w:p w:rsidR="007E6FDC" w:rsidP="007E6FDC">
      <w:pPr>
        <w:pStyle w:val="MdParagraph"/>
        <w:spacing w:line="276" w:lineRule="auto"/>
        <w:ind w:firstLine="708"/>
        <w:jc w:val="both"/>
      </w:pPr>
      <w:r>
        <w:t>O art. 8º utiliza a fórmula “poderá” ao tratar da disponibilização de material, cursos, campanhas, parcerias e mecanismos de acionamento emergencial. Essa redação preserva a programação administrativa e financeira do Poder Executivo, pois subordina a realização concreta das medidas à conveniência administrativa, à disponibilidade orçamentária e financeira e ao cumprimento da legislação de contratação pública, quando aplicável.</w:t>
      </w:r>
    </w:p>
    <w:p w:rsidR="007E6FDC" w:rsidP="007E6FDC">
      <w:pPr>
        <w:pStyle w:val="MdParagraph"/>
        <w:spacing w:line="276" w:lineRule="auto"/>
        <w:ind w:firstLine="708"/>
        <w:jc w:val="both"/>
      </w:pPr>
    </w:p>
    <w:p w:rsidR="007E6FDC" w:rsidP="007E6FDC">
      <w:pPr>
        <w:pStyle w:val="MdParagraph"/>
        <w:numPr>
          <w:ilvl w:val="0"/>
          <w:numId w:val="15"/>
        </w:numPr>
        <w:spacing w:line="276" w:lineRule="auto"/>
        <w:jc w:val="both"/>
        <w:rPr>
          <w:b/>
        </w:rPr>
      </w:pPr>
      <w:r w:rsidRPr="007E6FDC">
        <w:rPr>
          <w:b/>
        </w:rPr>
        <w:t>Estimativa de impacto apresentado nos autos</w:t>
      </w:r>
    </w:p>
    <w:p w:rsidR="007E6FDC" w:rsidP="007E6FDC">
      <w:pPr>
        <w:pStyle w:val="MdParagraph"/>
        <w:spacing w:line="276" w:lineRule="auto"/>
        <w:ind w:firstLine="708"/>
        <w:jc w:val="both"/>
      </w:pPr>
      <w:r>
        <w:t>A instrução técnica elaborada pela Guarda Civil Municipal informa que o Programa será executado com a estrutura existente no Município e que não há previsão de criação de cargos, novas contratações ou implantação de sistemas adicionais.</w:t>
      </w:r>
    </w:p>
    <w:p w:rsidR="007E6FDC" w:rsidP="00A83FDD">
      <w:pPr>
        <w:pStyle w:val="MdParagraph"/>
        <w:spacing w:line="276" w:lineRule="auto"/>
        <w:ind w:firstLine="708"/>
      </w:pPr>
      <w:r>
        <w:t>De acordo com a estimativa apresentada: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capacitações</w:t>
      </w:r>
      <w:r>
        <w:t xml:space="preserve">: custo estimado de </w:t>
      </w:r>
      <w:r w:rsidRPr="00A83FDD">
        <w:rPr>
          <w:b/>
        </w:rPr>
        <w:t>R$ 0,00</w:t>
      </w:r>
      <w:r>
        <w:t>, mediante utilização da estrutura existente;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campanhas</w:t>
      </w:r>
      <w:r>
        <w:t xml:space="preserve"> educativas: absorção pelas dotações já previstas nas Secretarias;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sistema</w:t>
      </w:r>
      <w:r>
        <w:t xml:space="preserve"> de acionamento ou “botão do pânico”: custo estimado de </w:t>
      </w:r>
      <w:r w:rsidRPr="00A83FDD">
        <w:rPr>
          <w:b/>
        </w:rPr>
        <w:t>R$ 0,00</w:t>
      </w:r>
      <w:r>
        <w:t>, por já se encontrar implantado;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material</w:t>
      </w:r>
      <w:r>
        <w:t xml:space="preserve"> informativo: impressão eventual de aproximadamente 1.000 unidades por ano, com custo total estimado entre </w:t>
      </w:r>
      <w:r w:rsidRPr="00A83FDD">
        <w:rPr>
          <w:b/>
        </w:rPr>
        <w:t>R$ 500,00 e R$ 600,00</w:t>
      </w:r>
      <w:r>
        <w:t>;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custo</w:t>
      </w:r>
      <w:r>
        <w:t xml:space="preserve"> estimado mínimo: </w:t>
      </w:r>
      <w:r w:rsidRPr="00A83FDD">
        <w:rPr>
          <w:b/>
        </w:rPr>
        <w:t>R$ 0,00</w:t>
      </w:r>
      <w:r>
        <w:t>; e</w:t>
      </w:r>
    </w:p>
    <w:p w:rsidR="007E6FDC" w:rsidP="007E6FDC">
      <w:pPr>
        <w:pStyle w:val="MdListItem"/>
        <w:numPr>
          <w:ilvl w:val="0"/>
          <w:numId w:val="16"/>
        </w:numPr>
        <w:spacing w:line="276" w:lineRule="auto"/>
      </w:pPr>
      <w:r>
        <w:t>custo</w:t>
      </w:r>
      <w:r>
        <w:t xml:space="preserve"> estimado máximo, em cenário conservador: até </w:t>
      </w:r>
      <w:r w:rsidRPr="00A83FDD">
        <w:rPr>
          <w:b/>
        </w:rPr>
        <w:t>R$ 600,00</w:t>
      </w:r>
      <w:r>
        <w:t xml:space="preserve"> anuais.</w:t>
      </w:r>
    </w:p>
    <w:p w:rsidR="007E6FDC" w:rsidP="00A83FDD">
      <w:pPr>
        <w:pStyle w:val="MdParagraph"/>
        <w:spacing w:line="276" w:lineRule="auto"/>
        <w:ind w:firstLine="708"/>
        <w:jc w:val="both"/>
      </w:pPr>
      <w:r>
        <w:t>O Despacho nº 58/2026 da Diretoria de Planejamento e Orçamento acolhe essa informação e registra a inexistência de aumento de despesa relevante para a apreciação legislativa do projeto.</w:t>
      </w:r>
    </w:p>
    <w:p w:rsidR="007E6FDC" w:rsidP="00A83FDD">
      <w:pPr>
        <w:pStyle w:val="MdParagraph"/>
        <w:spacing w:line="276" w:lineRule="auto"/>
        <w:ind w:firstLine="708"/>
        <w:jc w:val="both"/>
      </w:pPr>
      <w:r>
        <w:t>A Comissão considera que os elementos apresentados são suficientes para demonstrar, no estágio de tramitação legislativa, que o projeto não produz impacto financeiro relevante nem institui despesa obrigatória de caráter continuado. A estimativa também é coerente com o conteúdo normativo da proposta, que privilegia a utilização de recursos humanos, materiais e institucionais já disponíveis.</w:t>
      </w:r>
    </w:p>
    <w:p w:rsidR="007E6FDC" w:rsidP="00A83FDD">
      <w:pPr>
        <w:pStyle w:val="MdParagraph"/>
        <w:spacing w:line="276" w:lineRule="auto"/>
        <w:ind w:firstLine="708"/>
        <w:jc w:val="both"/>
      </w:pPr>
      <w:r>
        <w:t>Essa conclusão não significa que toda e qualquer ação futura estará dispensada de planejamento financeiro. Se a execução vier a envolver contratação de serviços, aquisição de equipamentos, expansão do sistema de acionamento, campanhas em escala superior à estimada, custeio de capacitações externas ou criação de novas atividades permanentes, o Poder Executivo deverá realizar a correspondente instrução orçamentária antes da contratação ou do empenho.</w:t>
      </w:r>
    </w:p>
    <w:p w:rsidR="00A83FDD" w:rsidP="00A83FDD">
      <w:pPr>
        <w:pStyle w:val="MdParagraph"/>
        <w:spacing w:line="276" w:lineRule="auto"/>
        <w:ind w:firstLine="708"/>
        <w:jc w:val="both"/>
      </w:pPr>
    </w:p>
    <w:p w:rsidR="00A83FDD" w:rsidRPr="00A83FDD" w:rsidP="00A83FDD">
      <w:pPr>
        <w:pStyle w:val="MdParagraph"/>
        <w:numPr>
          <w:ilvl w:val="0"/>
          <w:numId w:val="15"/>
        </w:numPr>
        <w:spacing w:line="276" w:lineRule="auto"/>
        <w:jc w:val="both"/>
      </w:pPr>
      <w:r w:rsidRPr="00A83FDD">
        <w:rPr>
          <w:b/>
        </w:rPr>
        <w:t>Aplicação da Lei de Responsabilidade Fiscal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O art. 15 da Lei Complementar Federal nº 101/2000 considera não autorizada, irregular e lesiva ao patrimônio público a geração de despesa ou a assunção de obrigação que não observe os arts. 16 e 17. O art. 16 exige estimativa do impacto orçamentário-financeiro no exercício de início de vigência e nos dois exercícios seguintes, além de declaração de adequação orçamentária e financeira, quando a criação, expansão ou aperfeiçoamento de ação governamental acarretar aumento de despesa. O art. 17 disciplina a despesa obrigatória de caráter continuado, entendida como a despesa corrente derivada de lei ou ato normativo que imponha obrigação de execução por período superior a dois exercícios.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No caso examinado, a documentação juntada aos autos afasta, em princípio, a caracterização de despesa obrigatória de caráter continuado. O projeto não obriga o Município a criar estrutura administrativa, admitir pessoal ou realizar despesa permanente em montante definido. As ações poderão ser executadas por órgãos e servidores já existentes, conforme a disponibilidade administrativa e orçamentária.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Além disso, a estimativa técnica apresenta premissas e metodologia simples e verificável: utilização da estrutura existente, ausência de novas contratações e cálculo do eventual material gráfico com base em quantidade e custo unitário. Embora o valor projetado seja reduzido, sua execução deverá respeitar a lei orçamentária, a programação financeira, o cronograma de desembolso e os procedimentos de empenho e contratação aplicáveis.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 xml:space="preserve">A Comissão ressalva que a cláusula do art. 11 — </w:t>
      </w:r>
      <w:r w:rsidRPr="00A83FDD">
        <w:rPr>
          <w:i/>
        </w:rPr>
        <w:t xml:space="preserve">“dotações orçamentárias próprias, suplementadas se necessário” </w:t>
      </w:r>
      <w:r>
        <w:t>— não autoriza, por si só, a realização de despesa sem dotação suficiente. Caso a dotação existente seja insuficiente, a suplementação deverá observar a autorização legal, os limites orçamentários e a indicação de recursos disponíveis, conforme os arts. 40 a 43 da Lei Federal nº 4.320/1964.</w:t>
      </w:r>
    </w:p>
    <w:p w:rsidR="00A83FDD" w:rsidP="00A83FDD">
      <w:pPr>
        <w:pStyle w:val="MdParagraph"/>
        <w:spacing w:line="276" w:lineRule="auto"/>
        <w:ind w:firstLine="708"/>
        <w:jc w:val="both"/>
      </w:pPr>
    </w:p>
    <w:p w:rsidR="00A83FDD" w:rsidRPr="00A83FDD" w:rsidP="00A83FDD">
      <w:pPr>
        <w:pStyle w:val="MdParagraph"/>
        <w:numPr>
          <w:ilvl w:val="0"/>
          <w:numId w:val="15"/>
        </w:numPr>
        <w:spacing w:line="276" w:lineRule="auto"/>
        <w:jc w:val="both"/>
        <w:rPr>
          <w:b/>
        </w:rPr>
      </w:pPr>
      <w:r w:rsidRPr="00A83FDD">
        <w:rPr>
          <w:b/>
        </w:rPr>
        <w:t>Compatibilidade com os instrumentos de planejamentos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O conteúdo do projeto guarda compatibilidade material com políticas públicas municipais de segurança, assistência social, proteção da mulher e prevenção da violência. A execução poderá ser enquadrada em ações e programas já existentes no Plano Plurianual, na Lei de Diretrizes Orçamentárias e na Lei Orçamentária Anual, conforme a classificação adotada pelo Poder Executivo.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A Comissão não identifica, na redação do projeto, criação de finalidade incompatível com o planejamento municipal ou imposição de aplicação vinculada de receita sem previsão legal. A execução financeira, contudo, deverá ocorrer dentro das dotações correspondentes às ações de segurança pública, assistência social, comunicação institucional, capacitação ou outras classificações pertinentes, de acordo com a natureza da despesa e a unidade responsável.</w:t>
      </w:r>
    </w:p>
    <w:p w:rsidR="00A83FDD" w:rsidP="00A83FDD">
      <w:pPr>
        <w:pStyle w:val="MdParagraph"/>
        <w:spacing w:line="276" w:lineRule="auto"/>
        <w:ind w:firstLine="708"/>
        <w:jc w:val="both"/>
      </w:pPr>
      <w:r>
        <w:t>Caso a Administração conclua que a ação não está contemplada na programação vigente, deverão ser adotadas previamente as providências de planejamento e orçamento cabíveis. O eventual crédito adicional não poderá ser tratado como automático, devendo observar a legislação financeira, a existência de recursos disponíveis e a justificativa correspondente.</w:t>
      </w:r>
    </w:p>
    <w:p w:rsidR="00A83FDD" w:rsidP="00A83FDD">
      <w:pPr>
        <w:pStyle w:val="MdParagraph"/>
        <w:spacing w:line="276" w:lineRule="auto"/>
        <w:ind w:firstLine="708"/>
        <w:jc w:val="both"/>
      </w:pPr>
    </w:p>
    <w:p w:rsidR="00A83FDD" w:rsidP="00A83FDD">
      <w:pPr>
        <w:pStyle w:val="MdParagraph"/>
        <w:numPr>
          <w:ilvl w:val="0"/>
          <w:numId w:val="15"/>
        </w:numPr>
        <w:spacing w:line="276" w:lineRule="auto"/>
        <w:jc w:val="both"/>
        <w:rPr>
          <w:b/>
        </w:rPr>
      </w:pPr>
      <w:r w:rsidRPr="00320DDD">
        <w:rPr>
          <w:b/>
        </w:rPr>
        <w:t>Efeitos das emendas sobre a despesas pública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rPr>
          <w:bCs/>
        </w:rPr>
        <w:t xml:space="preserve"> </w:t>
      </w:r>
      <w:r>
        <w:t>As emendas constantes do processo, consideradas em seu conteúdo financeiro, não criam despesa incompatível com a proposição original.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A previsão de observância da legislação de proteção de dados pessoais aperfeiçoa o tratamento das informações relativas às vítimas, sem exigir, necessariamente, criação de sistema ou contratação nova. A previsão de contraditório e ampla defesa antes da suspensão ou cancelamento do Selo reforça a segurança jurídica do procedimento administrativo e não acarreta impacto financeiro mensurável por si só.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A redução do prazo de regulamentação para trinta dias antecipa a organização administrativa do Programa, mas não cria despesa nova. A exclusão de cultos e de outros eventos realizados em locais de natureza religiosa delimita o campo de incidência do programa municipal, em consonância com a ressalva prevista na Lei Federal nº 14.786/2023, sem produzir repercussão orçamentária direta.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 xml:space="preserve">A emenda que diferencia a adesão facultativa ao Programa das obrigações gerais dos estabelecimentos aperfeiçoa a redação e não gera encargo financeiro para o Município. Do mesmo modo, a emenda que substitui </w:t>
      </w:r>
      <w:r w:rsidRPr="00320DDD">
        <w:rPr>
          <w:i/>
        </w:rPr>
        <w:t>“podendo”</w:t>
      </w:r>
      <w:r>
        <w:t xml:space="preserve"> por </w:t>
      </w:r>
      <w:r w:rsidRPr="00320DDD">
        <w:rPr>
          <w:i/>
        </w:rPr>
        <w:t>“devendo”</w:t>
      </w:r>
      <w:r>
        <w:t xml:space="preserve"> quanto à elaboração de relatórios periódicos formaliza uma atividade de monitoramento já prevista no projeto. Essa alteração poderá demandar tempo de trabalho dos servidores responsáveis, mas, conforme a instrução do processo, a atividade pode ser desempenhada pela estrutura administrativa existente e não implica criação de cargo, contratação ou sistema adicional.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Sem prejuízo disso, os relatórios deverão ser elaborados de modo proporcional à capacidade administrativa e financeira do Município, com indicadores objetivos, periodicidade razoável e respeito à legislação de proteção de dados pessoais. A obrigação de avaliar o Programa não deve ser interpretada como autorização para realização de despesa sem prévia dotação ou sem os procedimentos legais próprios.</w:t>
      </w:r>
    </w:p>
    <w:p w:rsidR="00320DDD" w:rsidP="00320DDD">
      <w:pPr>
        <w:pStyle w:val="MdParagraph"/>
        <w:spacing w:line="276" w:lineRule="auto"/>
        <w:ind w:firstLine="708"/>
        <w:jc w:val="both"/>
      </w:pPr>
    </w:p>
    <w:p w:rsidR="00320DDD" w:rsidP="00320DDD">
      <w:pPr>
        <w:pStyle w:val="MdParagraph"/>
        <w:numPr>
          <w:ilvl w:val="0"/>
          <w:numId w:val="15"/>
        </w:numPr>
        <w:spacing w:line="276" w:lineRule="auto"/>
        <w:jc w:val="both"/>
        <w:rPr>
          <w:b/>
        </w:rPr>
      </w:pPr>
      <w:r w:rsidRPr="00320DDD">
        <w:rPr>
          <w:b/>
        </w:rPr>
        <w:t>Conformidade com a legislação federal e estadual correlata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A Lei Federal nº 14.786/2023 criou o protocolo “Não é Não” para prevenção ao constrangimento e à violência contra a mulher e instituiu o Selo “Não é Não — Mulheres Seguras”. A norma federal prevê direitos da mulher, deveres dos estabelecimentos, formação periódica, campanhas educativas e concessão de selo, além de ressalvar cultos e outros eventos realizados em locais de natureza religiosa.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A Lei Estadual nº 17.621/2023 obriga bares, restaurantes, casas noturnas e casas de eventos, no Estado de São Paulo, a adotar medidas de auxílio à mulher que se sinta em situação de risco, inclusive oferta de acompanhante, comunicação à polícia e divulgação, por cartazes, da disponibilidade de auxílio.</w:t>
      </w:r>
    </w:p>
    <w:p w:rsidR="00320DDD" w:rsidP="00320DDD">
      <w:pPr>
        <w:pStyle w:val="MdParagraph"/>
        <w:spacing w:line="276" w:lineRule="auto"/>
        <w:ind w:firstLine="708"/>
        <w:jc w:val="both"/>
      </w:pPr>
      <w:r>
        <w:t>O projeto municipal atua de maneira complementar, adaptando à realidade local a articulação entre a Guarda Civil Municipal, a Patrulha Maria da Penha, a Secretaria de Assistência Social, a Delegacia de Defesa da Mulher e demais integrantes da rede de proteção. Essa integração pode contribuir para o uso mais eficiente de estruturas e recursos já existentes, evitando duplicidade de programas e despesas, desde que a regulamentação preserve as competências legais de cada órgão.</w:t>
      </w:r>
    </w:p>
    <w:p w:rsidR="00A83FDD" w:rsidP="00A83FDD">
      <w:pPr>
        <w:pStyle w:val="MdParagraph"/>
        <w:spacing w:line="276" w:lineRule="auto"/>
        <w:ind w:firstLine="708"/>
        <w:jc w:val="both"/>
      </w:pPr>
    </w:p>
    <w:p w:rsidR="00FB7236" w:rsidP="00360800">
      <w:pPr>
        <w:spacing w:after="120" w:line="360" w:lineRule="auto"/>
        <w:ind w:firstLine="709"/>
        <w:jc w:val="left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 xml:space="preserve">Conclusão do </w:t>
      </w:r>
      <w:r w:rsidRPr="00360800" w:rsidR="00360800">
        <w:rPr>
          <w:rFonts w:eastAsia="Arial"/>
          <w:b/>
          <w:sz w:val="24"/>
          <w:szCs w:val="24"/>
        </w:rPr>
        <w:t>Relator</w:t>
      </w:r>
    </w:p>
    <w:p w:rsidR="00320DDD" w:rsidP="00C30B79">
      <w:pPr>
        <w:pStyle w:val="MdParagraph"/>
        <w:spacing w:line="276" w:lineRule="auto"/>
        <w:ind w:firstLine="708"/>
      </w:pPr>
      <w:r>
        <w:t>Diante do exame realizado, concluo que o Projeto de Lei nº 80/2026: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  <w:jc w:val="both"/>
      </w:pPr>
      <w:r>
        <w:t>não</w:t>
      </w:r>
      <w:r>
        <w:t xml:space="preserve"> cria, em sua redação, cargo, órgão, fundo, benefício financeiro ou contratação obrigatória;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</w:pPr>
      <w:r>
        <w:t>não</w:t>
      </w:r>
      <w:r>
        <w:t xml:space="preserve"> estabelece despesa obrigatória de caráter continuado em valor determinado;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</w:pPr>
      <w:r>
        <w:t>prevê</w:t>
      </w:r>
      <w:r>
        <w:t xml:space="preserve"> execução preferencialmente apoiada em estrutura administrativa já existente;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  <w:jc w:val="both"/>
      </w:pPr>
      <w:r>
        <w:t>está</w:t>
      </w:r>
      <w:r>
        <w:t xml:space="preserve"> acompanhado de estimativa técnica de impacto, que aponta custo eventual entre </w:t>
      </w:r>
      <w:r w:rsidRPr="00FF5B97">
        <w:rPr>
          <w:b/>
        </w:rPr>
        <w:t>R$ 0,00 e R$ 600,00</w:t>
      </w:r>
      <w:r>
        <w:t xml:space="preserve"> anuais;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  <w:jc w:val="both"/>
      </w:pPr>
      <w:r>
        <w:t>conta</w:t>
      </w:r>
      <w:r>
        <w:t xml:space="preserve"> com manifestação da Diretoria de Planejamento e Orçamento no sentido de que não há aumento de despesa relevante que obste seu encaminhamento legislativo;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  <w:jc w:val="both"/>
      </w:pPr>
      <w:r>
        <w:t>pode</w:t>
      </w:r>
      <w:r>
        <w:t xml:space="preserve"> ser compatibilizado com as dotações existentes, desde que a execução observe a programação orçamentária vigente; e</w:t>
      </w:r>
    </w:p>
    <w:p w:rsidR="00320DDD" w:rsidP="00C30B79">
      <w:pPr>
        <w:pStyle w:val="MdListItem"/>
        <w:numPr>
          <w:ilvl w:val="0"/>
          <w:numId w:val="17"/>
        </w:numPr>
        <w:spacing w:line="276" w:lineRule="auto"/>
        <w:jc w:val="both"/>
      </w:pPr>
      <w:r>
        <w:t>não</w:t>
      </w:r>
      <w:r>
        <w:t xml:space="preserve"> afasta a necessidade de cumprimento dos arts. 15, 16 e 17 da Lei de Responsabilidade Fiscal, da Lei Federal nº 4.320/1964, da Lei Orçamentária Anual, da Lei de </w:t>
      </w:r>
      <w:r>
        <w:t>Diretrizes Orçamentárias, do Plano Plurianual e das normas de contratação pública, quando houver despesa efetiva.</w:t>
      </w:r>
    </w:p>
    <w:p w:rsidR="00320DDD" w:rsidP="00C30B79">
      <w:pPr>
        <w:pStyle w:val="MdParagraph"/>
        <w:spacing w:line="276" w:lineRule="auto"/>
        <w:ind w:left="360" w:firstLine="708"/>
        <w:jc w:val="both"/>
      </w:pPr>
      <w:r>
        <w:t xml:space="preserve">Assim, sob a ótica financeira e orçamentária, </w:t>
      </w:r>
      <w:r>
        <w:rPr>
          <w:rStyle w:val="MdStrong"/>
          <w:rFonts w:eastAsiaTheme="majorEastAsia"/>
        </w:rPr>
        <w:t>não há óbice à aprovação do Projeto de Lei nº 80/2026</w:t>
      </w:r>
      <w:r>
        <w:t>, inclusive quanto às emendas que não produzam aumento de despesa incompatível com a proposta original, recomendando-se sua aprovação por esta Comissão.</w:t>
      </w:r>
    </w:p>
    <w:p w:rsidR="00320DDD" w:rsidP="00C30B79">
      <w:pPr>
        <w:pStyle w:val="MdParagraph"/>
        <w:spacing w:line="276" w:lineRule="auto"/>
        <w:ind w:left="360" w:firstLine="708"/>
        <w:jc w:val="both"/>
      </w:pPr>
      <w:r>
        <w:t>O posicionamento favorável fica compreendido com a seguinte ressalva de execução: nenhuma despesa decorrente do Programa poderá ser empenhada, liquidada ou paga sem dotação orçamentária suficiente, prévio atendimento das exigências legais e demonstração de compatibilidade com a programação financeira municipal. Eventual insuficiência de dotação deverá ser solucionada pelos instrumentos próprios, inclusive crédito suplementar ou especial, quando cabível, sempre com observância da legislação financeira.</w:t>
      </w:r>
    </w:p>
    <w:p w:rsidR="00320DDD" w:rsidP="00320DDD">
      <w:pPr>
        <w:pStyle w:val="MdParagraph"/>
        <w:spacing w:line="276" w:lineRule="auto"/>
        <w:ind w:firstLine="360"/>
        <w:jc w:val="both"/>
      </w:pPr>
    </w:p>
    <w:p w:rsidR="00FB7236" w:rsidP="00C30B79">
      <w:pPr>
        <w:spacing w:after="120" w:line="360" w:lineRule="auto"/>
        <w:ind w:left="359" w:firstLine="709"/>
        <w:rPr>
          <w:rFonts w:eastAsia="Arial"/>
          <w:b/>
          <w:sz w:val="24"/>
          <w:szCs w:val="24"/>
        </w:rPr>
      </w:pPr>
      <w:r w:rsidRPr="00360800">
        <w:rPr>
          <w:rFonts w:eastAsia="Arial"/>
          <w:b/>
          <w:sz w:val="24"/>
          <w:szCs w:val="24"/>
        </w:rPr>
        <w:t>Parecer d</w:t>
      </w:r>
      <w:r w:rsidR="004757EC">
        <w:rPr>
          <w:rFonts w:eastAsia="Arial"/>
          <w:b/>
          <w:sz w:val="24"/>
          <w:szCs w:val="24"/>
        </w:rPr>
        <w:t>o Relator d</w:t>
      </w:r>
      <w:r w:rsidRPr="00360800">
        <w:rPr>
          <w:rFonts w:eastAsia="Arial"/>
          <w:b/>
          <w:sz w:val="24"/>
          <w:szCs w:val="24"/>
        </w:rPr>
        <w:t>a Comissão de Finanças e Orçamentos</w:t>
      </w:r>
    </w:p>
    <w:p w:rsidR="00C30B79" w:rsidP="00C30B79">
      <w:pPr>
        <w:pStyle w:val="MdParagraph"/>
        <w:spacing w:line="276" w:lineRule="auto"/>
        <w:ind w:left="359" w:firstLine="708"/>
        <w:jc w:val="both"/>
      </w:pPr>
      <w:r>
        <w:t xml:space="preserve">Ante o exposto, voto </w:t>
      </w:r>
      <w:r>
        <w:rPr>
          <w:rStyle w:val="MdStrong"/>
          <w:rFonts w:eastAsiaTheme="majorEastAsia"/>
        </w:rPr>
        <w:t>FAVORAVELMENTE</w:t>
      </w:r>
      <w:r>
        <w:t xml:space="preserve"> ao Projeto de Lei nº 80/2026, de autoria do Poder Executivo, que </w:t>
      </w:r>
      <w:r w:rsidRPr="00D20A01">
        <w:rPr>
          <w:i/>
        </w:rPr>
        <w:t xml:space="preserve">“Institui o Programa Municipal </w:t>
      </w:r>
      <w:r w:rsidRPr="00D20A01">
        <w:rPr>
          <w:i/>
          <w:u w:val="single"/>
        </w:rPr>
        <w:t>‘Protocolo Não Se Cale – Não é Não’</w:t>
      </w:r>
      <w:r w:rsidRPr="00D20A01">
        <w:rPr>
          <w:i/>
        </w:rPr>
        <w:t>, no âmbito do Município de Mogi Mirim, destinado à prevenção e ao enfrentamento da violência contra a mulher em estabelecimentos de entretenimento”</w:t>
      </w:r>
      <w:r>
        <w:t>, bem como às emendas constantes do processo que guardem pertinência temática e não acarretem aumento de despesa incompatível com a instrução orçamentária apresentada.</w:t>
      </w:r>
    </w:p>
    <w:p w:rsidR="008A523E" w:rsidP="00C30B79">
      <w:pPr>
        <w:pStyle w:val="MdParagraph"/>
        <w:spacing w:line="276" w:lineRule="auto"/>
        <w:ind w:left="359" w:firstLine="708"/>
        <w:jc w:val="both"/>
      </w:pPr>
    </w:p>
    <w:p w:rsidR="004757EC" w:rsidP="008A523E">
      <w:pPr>
        <w:pStyle w:val="FirstParagraph"/>
        <w:spacing w:line="360" w:lineRule="auto"/>
        <w:jc w:val="center"/>
      </w:pPr>
      <w:r w:rsidRPr="00721C3A">
        <w:rPr>
          <w:rFonts w:ascii="Times New Roman" w:hAnsi="Times New Roman" w:cs="Times New Roman"/>
        </w:rPr>
        <w:t xml:space="preserve">Sala das Comissões “Vereador Santo Róttoli”, Mogi Mirim, </w:t>
      </w:r>
      <w:r>
        <w:rPr>
          <w:rFonts w:ascii="Times New Roman" w:hAnsi="Times New Roman" w:cs="Times New Roman"/>
        </w:rPr>
        <w:t>21</w:t>
      </w:r>
      <w:r w:rsidRPr="00721C3A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outubro</w:t>
      </w:r>
      <w:r w:rsidRPr="00721C3A">
        <w:rPr>
          <w:rFonts w:ascii="Times New Roman" w:hAnsi="Times New Roman" w:cs="Times New Roman"/>
        </w:rPr>
        <w:t xml:space="preserve"> de 2026.</w:t>
      </w:r>
    </w:p>
    <w:p w:rsidR="00C30B79" w:rsidP="004757EC">
      <w:pPr>
        <w:pStyle w:val="BodyText"/>
        <w:rPr>
          <w:lang w:val="en-US" w:eastAsia="en-US"/>
        </w:rPr>
      </w:pPr>
    </w:p>
    <w:p w:rsidR="00C30B79" w:rsidRPr="00C30B79" w:rsidP="00F6142A">
      <w:pPr>
        <w:jc w:val="center"/>
        <w:rPr>
          <w:b/>
          <w:sz w:val="24"/>
          <w:szCs w:val="24"/>
        </w:rPr>
      </w:pPr>
      <w:r w:rsidRPr="00C30B79">
        <w:rPr>
          <w:b/>
          <w:sz w:val="24"/>
          <w:szCs w:val="24"/>
        </w:rPr>
        <w:t>VEREADOR MÁRCIO DENER CORAN</w:t>
      </w:r>
    </w:p>
    <w:p w:rsidR="008A523E" w:rsidP="00F6142A">
      <w:pPr>
        <w:jc w:val="center"/>
        <w:rPr>
          <w:b/>
          <w:sz w:val="24"/>
          <w:szCs w:val="24"/>
        </w:rPr>
      </w:pPr>
      <w:r w:rsidRPr="00C30B79">
        <w:rPr>
          <w:b/>
          <w:sz w:val="24"/>
          <w:szCs w:val="24"/>
        </w:rPr>
        <w:br/>
        <w:t>Relator</w:t>
      </w:r>
    </w:p>
    <w:p w:rsidR="008A523E" w:rsidP="008A523E">
      <w:pPr>
        <w:pStyle w:val="MdHeading2"/>
        <w:ind w:left="708" w:firstLine="708"/>
      </w:pPr>
      <w:r>
        <w:t>Referências bibliográficas</w:t>
      </w:r>
    </w:p>
    <w:p w:rsidR="008A523E" w:rsidP="008A523E">
      <w:pPr>
        <w:pStyle w:val="MdHeading3"/>
      </w:pPr>
      <w:r>
        <w:t xml:space="preserve">         </w:t>
      </w:r>
      <w:r>
        <w:tab/>
      </w:r>
      <w:r>
        <w:tab/>
      </w:r>
      <w:r>
        <w:t>Documento analisado:</w:t>
      </w:r>
    </w:p>
    <w:p w:rsidR="000D1A34" w:rsidP="000D1A34">
      <w:pPr>
        <w:pStyle w:val="MdParagraph"/>
        <w:spacing w:line="276" w:lineRule="auto"/>
        <w:jc w:val="both"/>
      </w:pPr>
      <w:r>
        <w:t xml:space="preserve">           </w:t>
      </w:r>
      <w:r>
        <w:tab/>
      </w:r>
      <w:r>
        <w:tab/>
      </w:r>
      <w:r>
        <w:t xml:space="preserve">- Projeto de Lei nº 80/2026 e documentos integrantes do processo legislativo </w:t>
      </w:r>
      <w:r>
        <w:t xml:space="preserve">em                          </w:t>
      </w:r>
    </w:p>
    <w:p w:rsidR="008A523E" w:rsidP="000D1A34">
      <w:pPr>
        <w:pStyle w:val="MdParagraph"/>
        <w:spacing w:line="276" w:lineRule="auto"/>
        <w:jc w:val="both"/>
      </w:pPr>
      <w:r>
        <w:t xml:space="preserve">                        </w:t>
      </w:r>
      <w:r>
        <w:t>caminhados em arquivo PDF;</w:t>
      </w:r>
    </w:p>
    <w:p w:rsidR="000D1A34" w:rsidP="008A523E">
      <w:pPr>
        <w:pStyle w:val="MdParagraph"/>
        <w:spacing w:line="276" w:lineRule="auto"/>
        <w:jc w:val="both"/>
      </w:pPr>
      <w:r>
        <w:t xml:space="preserve">           </w:t>
      </w:r>
      <w:r>
        <w:tab/>
      </w:r>
      <w:r>
        <w:tab/>
      </w:r>
      <w:r>
        <w:t xml:space="preserve">- Mensagem nº 047/2026, manifestações administrativas, instrução de impacto </w:t>
      </w:r>
    </w:p>
    <w:p w:rsidR="008A523E" w:rsidP="008A523E">
      <w:pPr>
        <w:pStyle w:val="MdParagraph"/>
        <w:spacing w:line="276" w:lineRule="auto"/>
        <w:jc w:val="both"/>
      </w:pPr>
      <w:r>
        <w:t xml:space="preserve">                        </w:t>
      </w:r>
      <w:r>
        <w:t>orçamentário-financeiro;</w:t>
      </w:r>
    </w:p>
    <w:p w:rsidR="000D1A34" w:rsidP="008A523E">
      <w:pPr>
        <w:pStyle w:val="MdParagraph"/>
        <w:spacing w:line="276" w:lineRule="auto"/>
        <w:jc w:val="both"/>
      </w:pPr>
      <w:r>
        <w:t xml:space="preserve">          </w:t>
      </w:r>
      <w:r>
        <w:tab/>
      </w:r>
      <w:r>
        <w:tab/>
      </w:r>
      <w:r>
        <w:t xml:space="preserve">- Relatório da Comissão de Justiça e Redação e emendas apresentadas no curso </w:t>
      </w:r>
    </w:p>
    <w:p w:rsidR="008A523E" w:rsidP="008A523E">
      <w:pPr>
        <w:pStyle w:val="MdParagraph"/>
        <w:spacing w:line="276" w:lineRule="auto"/>
        <w:jc w:val="both"/>
      </w:pPr>
      <w:r>
        <w:t xml:space="preserve">                        </w:t>
      </w:r>
      <w:r>
        <w:t>da tramitação.</w:t>
      </w:r>
    </w:p>
    <w:p w:rsidR="00C30B79" w:rsidP="00C30B79">
      <w:pPr>
        <w:jc w:val="center"/>
        <w:rPr>
          <w:rFonts w:ascii="Arial" w:hAnsi="Arial"/>
          <w:b/>
        </w:rPr>
      </w:pPr>
    </w:p>
    <w:p w:rsidR="00C30B79" w:rsidP="008A523E">
      <w:pPr>
        <w:spacing w:after="120" w:line="360" w:lineRule="auto"/>
        <w:ind w:left="707" w:firstLine="709"/>
        <w:rPr>
          <w:rFonts w:eastAsia="Arial"/>
          <w:b/>
          <w:sz w:val="24"/>
          <w:szCs w:val="24"/>
        </w:rPr>
      </w:pPr>
      <w:r w:rsidRPr="00360800">
        <w:rPr>
          <w:rFonts w:eastAsia="Arial"/>
          <w:b/>
          <w:sz w:val="24"/>
          <w:szCs w:val="24"/>
        </w:rPr>
        <w:t>Parecer d</w:t>
      </w:r>
      <w:r>
        <w:rPr>
          <w:rFonts w:eastAsia="Arial"/>
          <w:b/>
          <w:sz w:val="24"/>
          <w:szCs w:val="24"/>
        </w:rPr>
        <w:t xml:space="preserve">a </w:t>
      </w:r>
      <w:r w:rsidRPr="00360800">
        <w:rPr>
          <w:rFonts w:eastAsia="Arial"/>
          <w:b/>
          <w:sz w:val="24"/>
          <w:szCs w:val="24"/>
        </w:rPr>
        <w:t>Comissão de Finanças e Orçamentos</w:t>
      </w:r>
    </w:p>
    <w:p w:rsidR="00C30B79" w:rsidP="008A523E">
      <w:pPr>
        <w:pStyle w:val="MdParagraph"/>
        <w:spacing w:line="276" w:lineRule="auto"/>
        <w:ind w:left="707" w:firstLine="708"/>
        <w:jc w:val="both"/>
      </w:pPr>
      <w:r>
        <w:t xml:space="preserve">A Comissão de Finanças e Orçamento, reunida na forma regimental, acompanhando o voto do Relator, decide emitir </w:t>
      </w:r>
      <w:r>
        <w:rPr>
          <w:rStyle w:val="MdStrong"/>
          <w:rFonts w:eastAsiaTheme="majorEastAsia"/>
        </w:rPr>
        <w:t>PARECER FAVORÁVEL</w:t>
      </w:r>
      <w:r>
        <w:t xml:space="preserve"> ao Projeto de Lei nº 80/2026, nos termos da fundamentação acima, ressalvada a observância, na fase de execução, da existência de dotação orçamentária suficiente, da compatibilidade com o PPA, a LDO e a LOA, das exigências da Lei de Responsabilidade Fiscal e dos procedimentos previstos na Lei Federal nº 4.320/1964.</w:t>
      </w:r>
    </w:p>
    <w:p w:rsidR="00C30B79" w:rsidP="00C30B79">
      <w:pPr>
        <w:jc w:val="center"/>
        <w:rPr>
          <w:rFonts w:ascii="Arial" w:hAnsi="Arial"/>
          <w:b/>
        </w:rPr>
      </w:pPr>
    </w:p>
    <w:p w:rsidR="00C30B79" w:rsidP="00C30B79">
      <w:pPr>
        <w:jc w:val="center"/>
        <w:rPr>
          <w:rFonts w:ascii="Arial" w:hAnsi="Arial"/>
          <w:b/>
        </w:rPr>
      </w:pPr>
    </w:p>
    <w:p w:rsidR="0090746B" w:rsidRPr="00FE32E2" w:rsidP="0090746B">
      <w:pPr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FE32E2">
        <w:rPr>
          <w:b/>
          <w:bCs/>
          <w:color w:val="000000"/>
          <w:sz w:val="24"/>
          <w:szCs w:val="24"/>
          <w:u w:val="single"/>
          <w:shd w:val="clear" w:color="auto" w:fill="FFFFFF"/>
        </w:rPr>
        <w:t>COMISSÃO DE FINANÇAS E ORÇAMENTO</w:t>
      </w:r>
    </w:p>
    <w:p w:rsidR="0090746B" w:rsidRPr="0090746B" w:rsidP="0090746B">
      <w:pPr>
        <w:pStyle w:val="BodyText"/>
        <w:rPr>
          <w:lang w:val="en-US" w:eastAsia="en-US"/>
        </w:rPr>
      </w:pPr>
    </w:p>
    <w:p w:rsidR="003842B1" w:rsidRPr="00360800" w:rsidP="00360800">
      <w:pPr>
        <w:spacing w:after="120" w:line="360" w:lineRule="auto"/>
        <w:ind w:firstLine="709"/>
        <w:jc w:val="left"/>
        <w:rPr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9167"/>
      </w:tblGrid>
      <w:tr w:rsidTr="00AA27E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9292" w:type="dxa"/>
          </w:tcPr>
          <w:p w:rsidR="0090746B" w:rsidP="00AA27E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br/>
            </w:r>
            <w:r>
              <w:rPr>
                <w:rFonts w:ascii="Arial" w:hAnsi="Arial"/>
                <w:b/>
              </w:rPr>
              <w:br/>
              <w:t>VEREADORA MARA CHOQUETTA</w:t>
            </w:r>
          </w:p>
          <w:p w:rsidR="00FB7236" w:rsidP="00AA27E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br/>
              <w:t>Presidente</w:t>
            </w:r>
          </w:p>
          <w:p w:rsidR="00C30B79" w:rsidP="00AA27E7">
            <w:pPr>
              <w:jc w:val="center"/>
              <w:rPr>
                <w:rFonts w:ascii="Arial" w:hAnsi="Arial"/>
                <w:b/>
              </w:rPr>
            </w:pPr>
          </w:p>
          <w:p w:rsidR="0090746B" w:rsidP="00AA27E7">
            <w:pPr>
              <w:jc w:val="center"/>
              <w:rPr>
                <w:rFonts w:ascii="Arial" w:hAnsi="Arial"/>
                <w:b/>
              </w:rPr>
            </w:pPr>
          </w:p>
          <w:p w:rsidR="0090746B" w:rsidP="00AA27E7">
            <w:pPr>
              <w:jc w:val="center"/>
            </w:pPr>
          </w:p>
        </w:tc>
      </w:tr>
      <w:tr w:rsidTr="00AA27E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9292" w:type="dxa"/>
          </w:tcPr>
          <w:p w:rsidR="0090746B" w:rsidP="00AA27E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br/>
            </w:r>
            <w:r>
              <w:rPr>
                <w:rFonts w:ascii="Arial" w:hAnsi="Arial"/>
                <w:b/>
              </w:rPr>
              <w:br/>
              <w:t xml:space="preserve">VEREADOR MÁRCIO DENER CORAN </w:t>
            </w:r>
          </w:p>
          <w:p w:rsidR="00FB7236" w:rsidP="00AA27E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br/>
            </w:r>
            <w:r w:rsidR="00F6142A">
              <w:rPr>
                <w:rFonts w:ascii="Arial" w:hAnsi="Arial"/>
                <w:b/>
              </w:rPr>
              <w:t xml:space="preserve">Vice Presidente - </w:t>
            </w:r>
            <w:bookmarkStart w:id="0" w:name="_GoBack"/>
            <w:bookmarkEnd w:id="0"/>
            <w:r>
              <w:rPr>
                <w:rFonts w:ascii="Arial" w:hAnsi="Arial"/>
                <w:b/>
              </w:rPr>
              <w:t>Relator</w:t>
            </w:r>
          </w:p>
          <w:p w:rsidR="00C30B79" w:rsidP="00AA27E7">
            <w:pPr>
              <w:jc w:val="center"/>
              <w:rPr>
                <w:rFonts w:ascii="Arial" w:hAnsi="Arial"/>
                <w:b/>
              </w:rPr>
            </w:pPr>
          </w:p>
          <w:p w:rsidR="0090746B" w:rsidP="00AA27E7">
            <w:pPr>
              <w:jc w:val="center"/>
              <w:rPr>
                <w:rFonts w:ascii="Arial" w:hAnsi="Arial"/>
                <w:b/>
              </w:rPr>
            </w:pPr>
          </w:p>
          <w:p w:rsidR="0090746B" w:rsidP="00AA27E7">
            <w:pPr>
              <w:jc w:val="center"/>
            </w:pPr>
          </w:p>
        </w:tc>
      </w:tr>
      <w:tr w:rsidTr="00AA27E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9292" w:type="dxa"/>
          </w:tcPr>
          <w:p w:rsidR="00FB7236" w:rsidP="00AA27E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br/>
            </w:r>
            <w:r>
              <w:rPr>
                <w:rFonts w:ascii="Arial" w:hAnsi="Arial"/>
                <w:b/>
              </w:rPr>
              <w:br/>
              <w:t>VEREADOR MARCOS PAULO CEGATTI</w:t>
            </w:r>
            <w:r>
              <w:rPr>
                <w:rFonts w:ascii="Arial" w:hAnsi="Arial"/>
                <w:b/>
              </w:rPr>
              <w:br/>
              <w:t>Membro</w:t>
            </w:r>
          </w:p>
          <w:p w:rsidR="004757EC" w:rsidP="00AA27E7">
            <w:pPr>
              <w:jc w:val="center"/>
              <w:rPr>
                <w:rFonts w:ascii="Arial" w:hAnsi="Arial"/>
                <w:b/>
              </w:rPr>
            </w:pPr>
          </w:p>
          <w:p w:rsidR="004757EC" w:rsidP="00AA27E7">
            <w:pPr>
              <w:jc w:val="center"/>
              <w:rPr>
                <w:rFonts w:ascii="Arial" w:hAnsi="Arial"/>
                <w:b/>
              </w:rPr>
            </w:pPr>
          </w:p>
          <w:p w:rsidR="003842B1" w:rsidP="00AC6CCD">
            <w:pPr>
              <w:spacing w:before="100" w:beforeAutospacing="1" w:after="40" w:line="360" w:lineRule="auto"/>
              <w:ind w:left="360"/>
            </w:pPr>
          </w:p>
        </w:tc>
      </w:tr>
      <w:tr w:rsidTr="00AA27E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9292" w:type="dxa"/>
          </w:tcPr>
          <w:p w:rsidR="00103DDB" w:rsidP="00AA27E7">
            <w:pPr>
              <w:jc w:val="center"/>
              <w:rPr>
                <w:rFonts w:ascii="Arial" w:hAnsi="Arial"/>
                <w:b/>
              </w:rPr>
            </w:pPr>
          </w:p>
        </w:tc>
      </w:tr>
      <w:tr w:rsidTr="00AA27E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9292" w:type="dxa"/>
          </w:tcPr>
          <w:p w:rsidR="004757EC" w:rsidP="00AA27E7">
            <w:pPr>
              <w:jc w:val="center"/>
              <w:rPr>
                <w:rFonts w:ascii="Arial" w:hAnsi="Arial"/>
                <w:b/>
              </w:rPr>
            </w:pPr>
          </w:p>
        </w:tc>
      </w:tr>
    </w:tbl>
    <w:p w:rsidR="00671E65" w:rsidRPr="002563F2" w:rsidP="0090746B">
      <w:pPr>
        <w:jc w:val="center"/>
        <w:rPr>
          <w:szCs w:val="24"/>
        </w:rPr>
      </w:pPr>
    </w:p>
    <w:sectPr>
      <w:headerReference w:type="default" r:id="rId5"/>
      <w:footerReference w:type="default" r:id="rId6"/>
      <w:pgSz w:w="11906" w:h="16838"/>
      <w:pgMar w:top="2268" w:right="1321" w:bottom="1134" w:left="1418" w:header="720" w:footer="72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5FD">
    <w:pPr>
      <w:pStyle w:val="Footer"/>
      <w:jc w:val="cen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5F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5835"/>
          <wp:effectExtent l="0" t="0" r="0" b="0"/>
          <wp:wrapNone/>
          <wp:docPr id="3" name="Imagem 2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826465" name="Imagem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615FD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6192" o:allowincell="f" filled="f" stroked="f">
              <v:textbox style="mso-fit-shape-to-text:t" inset="0,0,0,0">
                <w:txbxContent>
                  <w:p w:rsidR="008615FD">
                    <w:pPr>
                      <w:pStyle w:val="Header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8615F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A454B4C"/>
    <w:multiLevelType w:val="multilevel"/>
    <w:tmpl w:val="B92A07AE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1">
    <w:nsid w:val="FFFFFF89"/>
    <w:multiLevelType w:val="singleLevel"/>
    <w:tmpl w:val="1ADE4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156197"/>
    <w:multiLevelType w:val="hybridMultilevel"/>
    <w:tmpl w:val="D75C7D2E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08BD5FE1"/>
    <w:multiLevelType w:val="hybridMultilevel"/>
    <w:tmpl w:val="E9005260"/>
    <w:lvl w:ilvl="0">
      <w:start w:val="2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204240A4"/>
    <w:multiLevelType w:val="hybridMultilevel"/>
    <w:tmpl w:val="4A76FA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4086CD0"/>
    <w:multiLevelType w:val="multilevel"/>
    <w:tmpl w:val="89FE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C36784"/>
    <w:multiLevelType w:val="multilevel"/>
    <w:tmpl w:val="FAB6E0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351D4"/>
    <w:multiLevelType w:val="multilevel"/>
    <w:tmpl w:val="EAB6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A95F2D"/>
    <w:multiLevelType w:val="multilevel"/>
    <w:tmpl w:val="5122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F27E42"/>
    <w:multiLevelType w:val="multilevel"/>
    <w:tmpl w:val="21CAA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DA45E2"/>
    <w:multiLevelType w:val="hybridMultilevel"/>
    <w:tmpl w:val="9434FC5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B18656E"/>
    <w:multiLevelType w:val="multilevel"/>
    <w:tmpl w:val="CEE60044"/>
    <w:lvl w:ilvl="0">
      <w:start w:val="1"/>
      <w:numFmt w:val="decimal"/>
      <w:lvlText w:val="%1"/>
      <w:lvlJc w:val="left"/>
      <w:pPr>
        <w:ind w:left="1068" w:hanging="360"/>
      </w:pPr>
    </w:lvl>
    <w:lvl w:ilvl="1">
      <w:start w:val="1"/>
      <w:numFmt w:val="decimal"/>
      <w:lvlText w:val="%1.%2"/>
      <w:lvlJc w:val="left"/>
      <w:pPr>
        <w:ind w:left="1788" w:hanging="360"/>
      </w:pPr>
    </w:lvl>
    <w:lvl w:ilvl="2">
      <w:start w:val="1"/>
      <w:numFmt w:val="decimal"/>
      <w:lvlText w:val="%1.%2.%3"/>
      <w:lvlJc w:val="left"/>
      <w:pPr>
        <w:ind w:left="2508" w:hanging="360"/>
      </w:pPr>
    </w:lvl>
    <w:lvl w:ilvl="3">
      <w:start w:val="1"/>
      <w:numFmt w:val="decimal"/>
      <w:lvlText w:val="%4)"/>
      <w:lvlJc w:val="left"/>
      <w:pPr>
        <w:ind w:left="3228" w:hanging="360"/>
      </w:pPr>
    </w:lvl>
    <w:lvl w:ilvl="4">
      <w:start w:val="1"/>
      <w:numFmt w:val="decimal"/>
      <w:lvlText w:val="%5)"/>
      <w:lvlJc w:val="left"/>
      <w:pPr>
        <w:ind w:left="3948" w:hanging="360"/>
      </w:pPr>
    </w:lvl>
    <w:lvl w:ilvl="5">
      <w:start w:val="1"/>
      <w:numFmt w:val="decimal"/>
      <w:lvlText w:val="%6)"/>
      <w:lvlJc w:val="left"/>
      <w:pPr>
        <w:ind w:left="4668" w:hanging="360"/>
      </w:pPr>
    </w:lvl>
    <w:lvl w:ilvl="6">
      <w:start w:val="1"/>
      <w:numFmt w:val="decimal"/>
      <w:lvlText w:val="%7)"/>
      <w:lvlJc w:val="left"/>
      <w:pPr>
        <w:ind w:left="5388" w:hanging="360"/>
      </w:pPr>
    </w:lvl>
    <w:lvl w:ilvl="7">
      <w:start w:val="1"/>
      <w:numFmt w:val="decimal"/>
      <w:lvlText w:val="%8)"/>
      <w:lvlJc w:val="left"/>
      <w:pPr>
        <w:ind w:left="6108" w:hanging="360"/>
      </w:pPr>
    </w:lvl>
    <w:lvl w:ilvl="8">
      <w:start w:val="1"/>
      <w:numFmt w:val="decimal"/>
      <w:lvlText w:val="%9)"/>
      <w:lvlJc w:val="left"/>
      <w:pPr>
        <w:ind w:left="6828" w:hanging="360"/>
      </w:pPr>
    </w:lvl>
  </w:abstractNum>
  <w:abstractNum w:abstractNumId="12">
    <w:nsid w:val="64B2490C"/>
    <w:multiLevelType w:val="hybridMultilevel"/>
    <w:tmpl w:val="5350AC94"/>
    <w:lvl w:ilvl="0">
      <w:start w:val="1"/>
      <w:numFmt w:val="lowerLetter"/>
      <w:lvlText w:val="%1."/>
      <w:lvlJc w:val="left"/>
      <w:pPr>
        <w:ind w:left="165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76" w:hanging="360"/>
      </w:pPr>
    </w:lvl>
    <w:lvl w:ilvl="2" w:tentative="1">
      <w:start w:val="1"/>
      <w:numFmt w:val="lowerRoman"/>
      <w:lvlText w:val="%3."/>
      <w:lvlJc w:val="right"/>
      <w:pPr>
        <w:ind w:left="3096" w:hanging="180"/>
      </w:pPr>
    </w:lvl>
    <w:lvl w:ilvl="3" w:tentative="1">
      <w:start w:val="1"/>
      <w:numFmt w:val="decimal"/>
      <w:lvlText w:val="%4."/>
      <w:lvlJc w:val="left"/>
      <w:pPr>
        <w:ind w:left="3816" w:hanging="360"/>
      </w:pPr>
    </w:lvl>
    <w:lvl w:ilvl="4" w:tentative="1">
      <w:start w:val="1"/>
      <w:numFmt w:val="lowerLetter"/>
      <w:lvlText w:val="%5."/>
      <w:lvlJc w:val="left"/>
      <w:pPr>
        <w:ind w:left="4536" w:hanging="360"/>
      </w:pPr>
    </w:lvl>
    <w:lvl w:ilvl="5" w:tentative="1">
      <w:start w:val="1"/>
      <w:numFmt w:val="lowerRoman"/>
      <w:lvlText w:val="%6."/>
      <w:lvlJc w:val="right"/>
      <w:pPr>
        <w:ind w:left="5256" w:hanging="180"/>
      </w:pPr>
    </w:lvl>
    <w:lvl w:ilvl="6" w:tentative="1">
      <w:start w:val="1"/>
      <w:numFmt w:val="decimal"/>
      <w:lvlText w:val="%7."/>
      <w:lvlJc w:val="left"/>
      <w:pPr>
        <w:ind w:left="5976" w:hanging="360"/>
      </w:pPr>
    </w:lvl>
    <w:lvl w:ilvl="7" w:tentative="1">
      <w:start w:val="1"/>
      <w:numFmt w:val="lowerLetter"/>
      <w:lvlText w:val="%8."/>
      <w:lvlJc w:val="left"/>
      <w:pPr>
        <w:ind w:left="6696" w:hanging="360"/>
      </w:pPr>
    </w:lvl>
    <w:lvl w:ilvl="8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3">
    <w:nsid w:val="69A11A52"/>
    <w:multiLevelType w:val="hybridMultilevel"/>
    <w:tmpl w:val="1E727DE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D5BDA"/>
    <w:multiLevelType w:val="multilevel"/>
    <w:tmpl w:val="100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721ADC"/>
    <w:multiLevelType w:val="hybridMultilevel"/>
    <w:tmpl w:val="449CA19A"/>
    <w:lvl w:ilvl="0">
      <w:start w:val="1"/>
      <w:numFmt w:val="bullet"/>
      <w:lvlText w:val="•"/>
      <w:lvlJc w:val="left"/>
      <w:pPr>
        <w:ind w:left="1068" w:hanging="360"/>
      </w:pPr>
    </w:lvl>
    <w:lvl w:ilvl="1">
      <w:start w:val="1"/>
      <w:numFmt w:val="bullet"/>
      <w:lvlText w:val="◦"/>
      <w:lvlJc w:val="left"/>
      <w:pPr>
        <w:ind w:left="1788" w:hanging="360"/>
      </w:pPr>
    </w:lvl>
    <w:lvl w:ilvl="2">
      <w:start w:val="1"/>
      <w:numFmt w:val="bullet"/>
      <w:lvlText w:val="•"/>
      <w:lvlJc w:val="left"/>
      <w:pPr>
        <w:ind w:left="2508" w:hanging="360"/>
      </w:pPr>
    </w:lvl>
    <w:lvl w:ilvl="3">
      <w:start w:val="1"/>
      <w:numFmt w:val="bullet"/>
      <w:lvlText w:val="◦"/>
      <w:lvlJc w:val="left"/>
      <w:pPr>
        <w:ind w:left="3228" w:hanging="360"/>
      </w:pPr>
    </w:lvl>
    <w:lvl w:ilvl="4">
      <w:start w:val="1"/>
      <w:numFmt w:val="bullet"/>
      <w:lvlText w:val="•"/>
      <w:lvlJc w:val="left"/>
      <w:pPr>
        <w:ind w:left="3948" w:hanging="360"/>
      </w:pPr>
    </w:lvl>
    <w:lvl w:ilvl="5">
      <w:start w:val="1"/>
      <w:numFmt w:val="bullet"/>
      <w:lvlText w:val="◦"/>
      <w:lvlJc w:val="left"/>
      <w:pPr>
        <w:ind w:left="4668" w:hanging="360"/>
      </w:pPr>
    </w:lvl>
    <w:lvl w:ilvl="6">
      <w:start w:val="1"/>
      <w:numFmt w:val="bullet"/>
      <w:lvlText w:val="•"/>
      <w:lvlJc w:val="left"/>
      <w:pPr>
        <w:ind w:left="5388" w:hanging="360"/>
      </w:pPr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6">
    <w:nsid w:val="7CF22EF1"/>
    <w:multiLevelType w:val="hybridMultilevel"/>
    <w:tmpl w:val="0B762784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"/>
  </w:num>
  <w:num w:numId="12">
    <w:abstractNumId w:val="8"/>
  </w:num>
  <w:num w:numId="13">
    <w:abstractNumId w:val="11"/>
    <w:lvlOverride w:ilvl="0">
      <w:startOverride w:val="1"/>
    </w:lvlOverride>
  </w:num>
  <w:num w:numId="14">
    <w:abstractNumId w:val="16"/>
  </w:num>
  <w:num w:numId="15">
    <w:abstractNumId w:val="4"/>
  </w:num>
  <w:num w:numId="16">
    <w:abstractNumId w:val="15"/>
    <w:lvlOverride w:ilvl="0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FD"/>
    <w:rsid w:val="000304E0"/>
    <w:rsid w:val="00080765"/>
    <w:rsid w:val="000D1A34"/>
    <w:rsid w:val="000D6F26"/>
    <w:rsid w:val="000E414F"/>
    <w:rsid w:val="000F45EA"/>
    <w:rsid w:val="00103DDB"/>
    <w:rsid w:val="00106B62"/>
    <w:rsid w:val="001660DC"/>
    <w:rsid w:val="00166ECC"/>
    <w:rsid w:val="00184F80"/>
    <w:rsid w:val="00186843"/>
    <w:rsid w:val="0019435E"/>
    <w:rsid w:val="00196CA8"/>
    <w:rsid w:val="001B0999"/>
    <w:rsid w:val="001B124E"/>
    <w:rsid w:val="001C2EF1"/>
    <w:rsid w:val="001F2962"/>
    <w:rsid w:val="00206ABF"/>
    <w:rsid w:val="0021604B"/>
    <w:rsid w:val="00224C93"/>
    <w:rsid w:val="00255AB9"/>
    <w:rsid w:val="002563F2"/>
    <w:rsid w:val="002652A1"/>
    <w:rsid w:val="00272A03"/>
    <w:rsid w:val="00272CD9"/>
    <w:rsid w:val="00283EC6"/>
    <w:rsid w:val="002879F0"/>
    <w:rsid w:val="002A3601"/>
    <w:rsid w:val="002A4009"/>
    <w:rsid w:val="002B456D"/>
    <w:rsid w:val="002C0F5A"/>
    <w:rsid w:val="002C6153"/>
    <w:rsid w:val="002E5EA4"/>
    <w:rsid w:val="002E6625"/>
    <w:rsid w:val="00314B86"/>
    <w:rsid w:val="00320DDD"/>
    <w:rsid w:val="00330322"/>
    <w:rsid w:val="00352E5F"/>
    <w:rsid w:val="00360800"/>
    <w:rsid w:val="003632D3"/>
    <w:rsid w:val="00381440"/>
    <w:rsid w:val="003842B1"/>
    <w:rsid w:val="00396BD5"/>
    <w:rsid w:val="003A3B67"/>
    <w:rsid w:val="003A48C4"/>
    <w:rsid w:val="003A5AA8"/>
    <w:rsid w:val="003B1C46"/>
    <w:rsid w:val="003C75A6"/>
    <w:rsid w:val="003D1E55"/>
    <w:rsid w:val="003F4AA7"/>
    <w:rsid w:val="003F56E3"/>
    <w:rsid w:val="003F58A1"/>
    <w:rsid w:val="00424310"/>
    <w:rsid w:val="004418DD"/>
    <w:rsid w:val="00444781"/>
    <w:rsid w:val="0045382F"/>
    <w:rsid w:val="004555E9"/>
    <w:rsid w:val="00456054"/>
    <w:rsid w:val="00463CBE"/>
    <w:rsid w:val="00466A2B"/>
    <w:rsid w:val="004757EC"/>
    <w:rsid w:val="004A22B1"/>
    <w:rsid w:val="004A46DA"/>
    <w:rsid w:val="004D0A1B"/>
    <w:rsid w:val="004D155D"/>
    <w:rsid w:val="004E1CCB"/>
    <w:rsid w:val="004E738D"/>
    <w:rsid w:val="004E7D5A"/>
    <w:rsid w:val="00501A6B"/>
    <w:rsid w:val="0051315C"/>
    <w:rsid w:val="0051346D"/>
    <w:rsid w:val="005163AB"/>
    <w:rsid w:val="00516DD1"/>
    <w:rsid w:val="0056346E"/>
    <w:rsid w:val="00564A42"/>
    <w:rsid w:val="005C3BD3"/>
    <w:rsid w:val="005C7357"/>
    <w:rsid w:val="005D2B9A"/>
    <w:rsid w:val="005D43AB"/>
    <w:rsid w:val="005E5487"/>
    <w:rsid w:val="005E5A01"/>
    <w:rsid w:val="00602B22"/>
    <w:rsid w:val="00602F85"/>
    <w:rsid w:val="00614281"/>
    <w:rsid w:val="006177BD"/>
    <w:rsid w:val="006179A4"/>
    <w:rsid w:val="006457C5"/>
    <w:rsid w:val="00645F20"/>
    <w:rsid w:val="006517AA"/>
    <w:rsid w:val="00660E82"/>
    <w:rsid w:val="00671E65"/>
    <w:rsid w:val="006B30C7"/>
    <w:rsid w:val="006B48A7"/>
    <w:rsid w:val="006D04C6"/>
    <w:rsid w:val="006D5A6B"/>
    <w:rsid w:val="006F0330"/>
    <w:rsid w:val="007020C1"/>
    <w:rsid w:val="007058BC"/>
    <w:rsid w:val="007103D5"/>
    <w:rsid w:val="00710C84"/>
    <w:rsid w:val="00716F9B"/>
    <w:rsid w:val="00721C3A"/>
    <w:rsid w:val="0072400E"/>
    <w:rsid w:val="007606CC"/>
    <w:rsid w:val="00766A52"/>
    <w:rsid w:val="0078183D"/>
    <w:rsid w:val="007841A8"/>
    <w:rsid w:val="00787793"/>
    <w:rsid w:val="007974F1"/>
    <w:rsid w:val="007E6FDC"/>
    <w:rsid w:val="008053EA"/>
    <w:rsid w:val="00807843"/>
    <w:rsid w:val="008115AB"/>
    <w:rsid w:val="00813BB4"/>
    <w:rsid w:val="0082424A"/>
    <w:rsid w:val="00830A06"/>
    <w:rsid w:val="00850C12"/>
    <w:rsid w:val="00850C9B"/>
    <w:rsid w:val="0085374D"/>
    <w:rsid w:val="008615FD"/>
    <w:rsid w:val="00866A1A"/>
    <w:rsid w:val="00876CD4"/>
    <w:rsid w:val="008A523E"/>
    <w:rsid w:val="008A5A74"/>
    <w:rsid w:val="008B0EA4"/>
    <w:rsid w:val="008C6540"/>
    <w:rsid w:val="008D06EA"/>
    <w:rsid w:val="008F734D"/>
    <w:rsid w:val="0090746B"/>
    <w:rsid w:val="00922054"/>
    <w:rsid w:val="00956844"/>
    <w:rsid w:val="00957F2C"/>
    <w:rsid w:val="00976458"/>
    <w:rsid w:val="0098178C"/>
    <w:rsid w:val="00982904"/>
    <w:rsid w:val="009878D9"/>
    <w:rsid w:val="009A1FFA"/>
    <w:rsid w:val="009E292A"/>
    <w:rsid w:val="009F7E99"/>
    <w:rsid w:val="00A14033"/>
    <w:rsid w:val="00A2646B"/>
    <w:rsid w:val="00A3081B"/>
    <w:rsid w:val="00A45E06"/>
    <w:rsid w:val="00A541DD"/>
    <w:rsid w:val="00A661F9"/>
    <w:rsid w:val="00A77BB5"/>
    <w:rsid w:val="00A8293C"/>
    <w:rsid w:val="00A83FDD"/>
    <w:rsid w:val="00AA27E7"/>
    <w:rsid w:val="00AB4976"/>
    <w:rsid w:val="00AC41C2"/>
    <w:rsid w:val="00AC6CCD"/>
    <w:rsid w:val="00AD66FD"/>
    <w:rsid w:val="00B01DD0"/>
    <w:rsid w:val="00B026BE"/>
    <w:rsid w:val="00B1395A"/>
    <w:rsid w:val="00B26FA3"/>
    <w:rsid w:val="00B341D3"/>
    <w:rsid w:val="00B37CE9"/>
    <w:rsid w:val="00B47E00"/>
    <w:rsid w:val="00B956A8"/>
    <w:rsid w:val="00BA45DE"/>
    <w:rsid w:val="00BA5959"/>
    <w:rsid w:val="00BB4B19"/>
    <w:rsid w:val="00BC5ED3"/>
    <w:rsid w:val="00BE281C"/>
    <w:rsid w:val="00BE288F"/>
    <w:rsid w:val="00BF1E5C"/>
    <w:rsid w:val="00BF3131"/>
    <w:rsid w:val="00C02554"/>
    <w:rsid w:val="00C233F4"/>
    <w:rsid w:val="00C30B79"/>
    <w:rsid w:val="00C3139A"/>
    <w:rsid w:val="00C34A3D"/>
    <w:rsid w:val="00C37AFA"/>
    <w:rsid w:val="00C41CD9"/>
    <w:rsid w:val="00C75697"/>
    <w:rsid w:val="00CF06D1"/>
    <w:rsid w:val="00CF0FBF"/>
    <w:rsid w:val="00D06BC4"/>
    <w:rsid w:val="00D14909"/>
    <w:rsid w:val="00D16CDC"/>
    <w:rsid w:val="00D20A01"/>
    <w:rsid w:val="00D2557E"/>
    <w:rsid w:val="00D73B1A"/>
    <w:rsid w:val="00D77F3C"/>
    <w:rsid w:val="00D87740"/>
    <w:rsid w:val="00DA1E4A"/>
    <w:rsid w:val="00DB6F99"/>
    <w:rsid w:val="00DC5048"/>
    <w:rsid w:val="00DC5CF2"/>
    <w:rsid w:val="00DD3676"/>
    <w:rsid w:val="00DE0F3B"/>
    <w:rsid w:val="00E01CAC"/>
    <w:rsid w:val="00E12E88"/>
    <w:rsid w:val="00E14370"/>
    <w:rsid w:val="00E2537D"/>
    <w:rsid w:val="00E41D0D"/>
    <w:rsid w:val="00E5668D"/>
    <w:rsid w:val="00E80FEE"/>
    <w:rsid w:val="00E851C4"/>
    <w:rsid w:val="00E878F4"/>
    <w:rsid w:val="00EC3DC0"/>
    <w:rsid w:val="00EC4D65"/>
    <w:rsid w:val="00EC5039"/>
    <w:rsid w:val="00EC54AD"/>
    <w:rsid w:val="00ED3C7E"/>
    <w:rsid w:val="00F12488"/>
    <w:rsid w:val="00F140AA"/>
    <w:rsid w:val="00F202AB"/>
    <w:rsid w:val="00F4149B"/>
    <w:rsid w:val="00F53FFD"/>
    <w:rsid w:val="00F6142A"/>
    <w:rsid w:val="00FB7236"/>
    <w:rsid w:val="00FC2023"/>
    <w:rsid w:val="00FC2508"/>
    <w:rsid w:val="00FD0E69"/>
    <w:rsid w:val="00FE0366"/>
    <w:rsid w:val="00FE32E2"/>
    <w:rsid w:val="00FF5B9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017956-791F-4C90-BAD5-3A6F2CC2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rsid w:val="005C73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Ttulo2Char"/>
    <w:uiPriority w:val="9"/>
    <w:unhideWhenUsed/>
    <w:qFormat/>
    <w:rsid w:val="008D06EA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196C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basedOn w:val="DefaultParagraphFont"/>
    <w:rPr>
      <w:color w:val="0563C1"/>
      <w:u w:val="single"/>
    </w:rPr>
  </w:style>
  <w:style w:type="character" w:customStyle="1" w:styleId="MenoPendente1">
    <w:name w:val="Menção Pendente1"/>
    <w:basedOn w:val="DefaultParagraphFont"/>
    <w:qFormat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rpodetexto31">
    <w:name w:val="Corpo de texto 31"/>
    <w:basedOn w:val="Normal"/>
    <w:qFormat/>
    <w:rPr>
      <w:b/>
      <w:bCs/>
      <w:sz w:val="32"/>
      <w:szCs w:val="24"/>
      <w:u w:val="single"/>
      <w:lang w:eastAsia="ar-SA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sz w:val="24"/>
      <w:szCs w:val="24"/>
    </w:rPr>
  </w:style>
  <w:style w:type="paragraph" w:customStyle="1" w:styleId="Textoembloco1">
    <w:name w:val="Texto em bloco1"/>
    <w:basedOn w:val="Normal"/>
    <w:qFormat/>
    <w:pPr>
      <w:ind w:left="-709" w:right="-943"/>
    </w:pPr>
    <w:rPr>
      <w:sz w:val="22"/>
      <w:lang w:eastAsia="ar-SA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766A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3CBE"/>
    <w:rPr>
      <w:color w:val="0000FF"/>
      <w:u w:val="single"/>
    </w:rPr>
  </w:style>
  <w:style w:type="paragraph" w:customStyle="1" w:styleId="FirstParagraph">
    <w:name w:val="First Paragraph"/>
    <w:basedOn w:val="BodyText"/>
    <w:next w:val="BodyText"/>
    <w:qFormat/>
    <w:rsid w:val="00876CD4"/>
    <w:pPr>
      <w:spacing w:before="180" w:after="180" w:line="240" w:lineRule="auto"/>
      <w:jc w:val="left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Ttulo2Char">
    <w:name w:val="Título 2 Char"/>
    <w:basedOn w:val="DefaultParagraphFont"/>
    <w:link w:val="Heading2"/>
    <w:uiPriority w:val="9"/>
    <w:rsid w:val="008D06EA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 w:eastAsia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8D06EA"/>
    <w:pPr>
      <w:spacing w:before="100" w:after="100" w:line="240" w:lineRule="auto"/>
      <w:ind w:left="480" w:right="480"/>
      <w:jc w:val="left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196C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5C73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FB7236"/>
    <w:pPr>
      <w:numPr>
        <w:numId w:val="11"/>
      </w:numPr>
      <w:spacing w:after="200" w:line="276" w:lineRule="auto"/>
      <w:contextualSpacing/>
      <w:jc w:val="left"/>
    </w:pPr>
    <w:rPr>
      <w:rFonts w:ascii="Arial" w:eastAsia="Arial" w:hAnsi="Arial" w:cstheme="minorBidi"/>
      <w:sz w:val="22"/>
      <w:szCs w:val="22"/>
      <w:lang w:val="en-US" w:eastAsia="en-US"/>
    </w:rPr>
  </w:style>
  <w:style w:type="character" w:customStyle="1" w:styleId="MdStrong">
    <w:name w:val="MdStrong"/>
    <w:uiPriority w:val="99"/>
    <w:unhideWhenUsed/>
    <w:qFormat/>
    <w:rsid w:val="007606CC"/>
    <w:rPr>
      <w:b/>
      <w:bCs/>
    </w:rPr>
  </w:style>
  <w:style w:type="paragraph" w:customStyle="1" w:styleId="MdSpace">
    <w:name w:val="MdSpace"/>
    <w:qFormat/>
    <w:rsid w:val="007606CC"/>
    <w:pPr>
      <w:jc w:val="left"/>
    </w:pPr>
    <w:rPr>
      <w:sz w:val="12"/>
      <w:szCs w:val="12"/>
    </w:rPr>
  </w:style>
  <w:style w:type="paragraph" w:customStyle="1" w:styleId="MdParagraph">
    <w:name w:val="MdParagraph"/>
    <w:qFormat/>
    <w:rsid w:val="007606CC"/>
    <w:pPr>
      <w:spacing w:before="120" w:after="120"/>
      <w:jc w:val="left"/>
    </w:pPr>
    <w:rPr>
      <w:sz w:val="24"/>
      <w:szCs w:val="24"/>
    </w:rPr>
  </w:style>
  <w:style w:type="paragraph" w:customStyle="1" w:styleId="MdListItem">
    <w:name w:val="MdListItem"/>
    <w:qFormat/>
    <w:rsid w:val="007606CC"/>
    <w:pPr>
      <w:spacing w:before="60" w:after="60"/>
      <w:ind w:left="720" w:hanging="360"/>
      <w:jc w:val="left"/>
    </w:pPr>
    <w:rPr>
      <w:sz w:val="24"/>
      <w:szCs w:val="24"/>
    </w:rPr>
  </w:style>
  <w:style w:type="paragraph" w:customStyle="1" w:styleId="MdHeading2">
    <w:name w:val="MdHeading2"/>
    <w:qFormat/>
    <w:rsid w:val="007E6FDC"/>
    <w:pPr>
      <w:keepNext/>
      <w:spacing w:before="400" w:after="200"/>
      <w:jc w:val="left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rsid w:val="007E6FDC"/>
    <w:pPr>
      <w:keepNext/>
      <w:spacing w:before="320" w:after="160"/>
      <w:jc w:val="left"/>
      <w:outlineLvl w:val="2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D2C6-FACA-4196-A1A0-9EA797AE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8</Pages>
  <Words>2867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8</cp:revision>
  <cp:lastPrinted>2023-09-06T14:30:00Z</cp:lastPrinted>
  <dcterms:created xsi:type="dcterms:W3CDTF">2026-10-21T13:22:00Z</dcterms:created>
  <dcterms:modified xsi:type="dcterms:W3CDTF">2026-10-21T17:24:00Z</dcterms:modified>
  <dc:language>pt-BR</dc:language>
</cp:coreProperties>
</file>