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1B29F8" w:rsidP="00447754">
      <w:pPr>
        <w:jc w:val="both"/>
        <w:rPr>
          <w:rFonts w:ascii="Arial" w:hAnsi="Arial" w:cs="Arial"/>
          <w:b/>
          <w:sz w:val="24"/>
          <w:szCs w:val="24"/>
        </w:rPr>
      </w:pPr>
      <w:r>
        <w:rPr>
          <w:rFonts w:ascii="Arial" w:hAnsi="Arial" w:cs="Arial"/>
          <w:b/>
          <w:sz w:val="24"/>
          <w:szCs w:val="24"/>
        </w:rPr>
        <w:t>Projeto de Lei Nº 109/2026</w:t>
      </w:r>
      <w:r>
        <w:rPr>
          <w:rFonts w:ascii="Arial" w:hAnsi="Arial" w:cs="Arial"/>
          <w:b/>
          <w:sz w:val="24"/>
          <w:szCs w:val="24"/>
        </w:rPr>
        <w:t>Projeto de Lei Nº 109/2026</w:t>
      </w:r>
    </w:p>
    <w:p w:rsidR="001B29F8" w:rsidP="00F46A0A">
      <w:pPr>
        <w:ind w:firstLine="2268"/>
        <w:jc w:val="both"/>
        <w:rPr>
          <w:rFonts w:ascii="Arial" w:hAnsi="Arial" w:cs="Arial"/>
          <w:b/>
          <w:sz w:val="24"/>
          <w:szCs w:val="24"/>
        </w:rPr>
      </w:pPr>
    </w:p>
    <w:p w:rsidR="004D096C" w:rsidRPr="00295C8B" w:rsidP="004D096C">
      <w:pPr>
        <w:spacing w:line="360" w:lineRule="auto"/>
        <w:ind w:left="4253"/>
        <w:jc w:val="both"/>
        <w:rPr>
          <w:b/>
          <w:sz w:val="24"/>
          <w:szCs w:val="24"/>
        </w:rPr>
      </w:pPr>
      <w:r w:rsidRPr="00295C8B">
        <w:rPr>
          <w:b/>
          <w:sz w:val="24"/>
          <w:szCs w:val="24"/>
        </w:rPr>
        <w:t>ALTERA DISPOSITIVOS DA LEI ORDINÁRIA Nº 4.</w:t>
      </w:r>
      <w:r w:rsidR="0002567B">
        <w:rPr>
          <w:b/>
          <w:sz w:val="24"/>
          <w:szCs w:val="24"/>
        </w:rPr>
        <w:t xml:space="preserve">092, DE 10 DE NOVEMBRO DE 2005 </w:t>
      </w:r>
      <w:r w:rsidRPr="00295C8B">
        <w:rPr>
          <w:b/>
          <w:sz w:val="24"/>
          <w:szCs w:val="24"/>
        </w:rPr>
        <w:t>E DÁ OUTRAS PROVIDÊNCIAS.</w:t>
      </w:r>
    </w:p>
    <w:p w:rsidR="004D096C" w:rsidP="004D096C">
      <w:pPr>
        <w:jc w:val="both"/>
        <w:rPr>
          <w:rFonts w:ascii="Arial" w:hAnsi="Arial" w:cs="Arial"/>
          <w:b/>
          <w:sz w:val="24"/>
          <w:szCs w:val="24"/>
        </w:rPr>
      </w:pPr>
    </w:p>
    <w:p w:rsidR="004D096C" w:rsidRPr="00FE5189" w:rsidP="00447754">
      <w:pPr>
        <w:ind w:firstLine="708"/>
        <w:jc w:val="both"/>
        <w:rPr>
          <w:sz w:val="24"/>
          <w:szCs w:val="24"/>
        </w:rPr>
      </w:pPr>
      <w:r w:rsidRPr="00FE5189">
        <w:rPr>
          <w:sz w:val="24"/>
          <w:szCs w:val="24"/>
        </w:rPr>
        <w:t>A Câmara Municipal de Mogi Mirim aprova:</w:t>
      </w:r>
    </w:p>
    <w:p w:rsidR="004D096C" w:rsidP="004D096C">
      <w:pPr>
        <w:spacing w:line="360" w:lineRule="auto"/>
        <w:ind w:firstLine="708"/>
        <w:jc w:val="both"/>
        <w:rPr>
          <w:sz w:val="24"/>
          <w:szCs w:val="24"/>
        </w:rPr>
      </w:pPr>
    </w:p>
    <w:p w:rsidR="00295C8B" w:rsidRPr="00295C8B" w:rsidP="00295C8B">
      <w:pPr>
        <w:spacing w:after="200" w:line="360" w:lineRule="auto"/>
        <w:ind w:firstLine="708"/>
        <w:jc w:val="both"/>
        <w:rPr>
          <w:sz w:val="24"/>
          <w:szCs w:val="24"/>
        </w:rPr>
      </w:pPr>
      <w:r w:rsidRPr="00295C8B">
        <w:rPr>
          <w:sz w:val="24"/>
          <w:szCs w:val="24"/>
        </w:rPr>
        <w:t>Art. 1º A Lei Ordinária nº 4.092, de 10 de novembro de 2005, passa a vigorar acresc</w:t>
      </w:r>
      <w:r>
        <w:rPr>
          <w:sz w:val="24"/>
          <w:szCs w:val="24"/>
        </w:rPr>
        <w:t xml:space="preserve">ida </w:t>
      </w:r>
      <w:r>
        <w:rPr>
          <w:sz w:val="24"/>
          <w:szCs w:val="24"/>
        </w:rPr>
        <w:t>dos</w:t>
      </w:r>
      <w:r>
        <w:rPr>
          <w:sz w:val="24"/>
          <w:szCs w:val="24"/>
        </w:rPr>
        <w:t xml:space="preserve"> seguintes dispositivos:</w:t>
      </w:r>
    </w:p>
    <w:p w:rsidR="00295C8B" w:rsidRPr="00295C8B" w:rsidP="00295C8B">
      <w:pPr>
        <w:spacing w:after="200" w:line="360" w:lineRule="auto"/>
        <w:ind w:firstLine="708"/>
        <w:jc w:val="both"/>
        <w:rPr>
          <w:sz w:val="24"/>
          <w:szCs w:val="24"/>
        </w:rPr>
      </w:pPr>
      <w:r w:rsidRPr="00295C8B">
        <w:rPr>
          <w:sz w:val="24"/>
          <w:szCs w:val="24"/>
        </w:rPr>
        <w:t>“Art. 4º-A. Compete aos órgãos municipais responsáveis pela fiscalização, no âmbito de suas atribuições legais, fiscalizar o cumprimento d</w:t>
      </w:r>
      <w:r>
        <w:rPr>
          <w:sz w:val="24"/>
          <w:szCs w:val="24"/>
        </w:rPr>
        <w:t>esta Lei, especialmente quanto:</w:t>
      </w:r>
    </w:p>
    <w:p w:rsidR="00295C8B" w:rsidRPr="00295C8B" w:rsidP="00295C8B">
      <w:pPr>
        <w:spacing w:after="200" w:line="360" w:lineRule="auto"/>
        <w:ind w:firstLine="708"/>
        <w:jc w:val="both"/>
        <w:rPr>
          <w:sz w:val="24"/>
          <w:szCs w:val="24"/>
        </w:rPr>
      </w:pPr>
      <w:r w:rsidRPr="00295C8B">
        <w:rPr>
          <w:sz w:val="24"/>
          <w:szCs w:val="24"/>
        </w:rPr>
        <w:t>I – aos horário</w:t>
      </w:r>
      <w:r>
        <w:rPr>
          <w:sz w:val="24"/>
          <w:szCs w:val="24"/>
        </w:rPr>
        <w:t>s de funcionamento autorizados;</w:t>
      </w:r>
    </w:p>
    <w:p w:rsidR="00295C8B" w:rsidRPr="00295C8B" w:rsidP="00295C8B">
      <w:pPr>
        <w:spacing w:after="200" w:line="360" w:lineRule="auto"/>
        <w:ind w:firstLine="708"/>
        <w:jc w:val="both"/>
        <w:rPr>
          <w:sz w:val="24"/>
          <w:szCs w:val="24"/>
        </w:rPr>
      </w:pPr>
      <w:r w:rsidRPr="00295C8B">
        <w:rPr>
          <w:sz w:val="24"/>
          <w:szCs w:val="24"/>
        </w:rPr>
        <w:t>II – ao cumprimento das condições estabeleci</w:t>
      </w:r>
      <w:r>
        <w:rPr>
          <w:sz w:val="24"/>
          <w:szCs w:val="24"/>
        </w:rPr>
        <w:t>das no alvará de funcionamento;</w:t>
      </w:r>
    </w:p>
    <w:p w:rsidR="00295C8B" w:rsidRPr="00295C8B" w:rsidP="00295C8B">
      <w:pPr>
        <w:spacing w:after="200" w:line="360" w:lineRule="auto"/>
        <w:ind w:firstLine="708"/>
        <w:jc w:val="both"/>
        <w:rPr>
          <w:sz w:val="24"/>
          <w:szCs w:val="24"/>
        </w:rPr>
      </w:pPr>
      <w:r w:rsidRPr="00295C8B">
        <w:rPr>
          <w:sz w:val="24"/>
          <w:szCs w:val="24"/>
        </w:rPr>
        <w:t xml:space="preserve">III – à observância das normas de tratamento acústico e de prevenção da </w:t>
      </w:r>
      <w:r>
        <w:rPr>
          <w:sz w:val="24"/>
          <w:szCs w:val="24"/>
        </w:rPr>
        <w:t>perturbação do sossego público;</w:t>
      </w:r>
    </w:p>
    <w:p w:rsidR="00295C8B" w:rsidRPr="00295C8B" w:rsidP="00295C8B">
      <w:pPr>
        <w:spacing w:after="200" w:line="360" w:lineRule="auto"/>
        <w:ind w:firstLine="708"/>
        <w:jc w:val="both"/>
        <w:rPr>
          <w:sz w:val="24"/>
          <w:szCs w:val="24"/>
        </w:rPr>
      </w:pPr>
      <w:r w:rsidRPr="00295C8B">
        <w:rPr>
          <w:sz w:val="24"/>
          <w:szCs w:val="24"/>
        </w:rPr>
        <w:t>IV – à manutenção das condições de segurança, higiene e funcionamento exig</w:t>
      </w:r>
      <w:r>
        <w:rPr>
          <w:sz w:val="24"/>
          <w:szCs w:val="24"/>
        </w:rPr>
        <w:t>idas pela legislação aplicável;</w:t>
      </w:r>
    </w:p>
    <w:p w:rsidR="00295C8B" w:rsidRPr="00295C8B" w:rsidP="00295C8B">
      <w:pPr>
        <w:spacing w:after="200" w:line="360" w:lineRule="auto"/>
        <w:ind w:firstLine="708"/>
        <w:jc w:val="both"/>
        <w:rPr>
          <w:sz w:val="24"/>
          <w:szCs w:val="24"/>
        </w:rPr>
      </w:pPr>
      <w:r w:rsidRPr="00295C8B">
        <w:rPr>
          <w:sz w:val="24"/>
          <w:szCs w:val="24"/>
        </w:rPr>
        <w:t xml:space="preserve">V – à exposição, em local visível ao público, dos documentos </w:t>
      </w:r>
      <w:r>
        <w:rPr>
          <w:sz w:val="24"/>
          <w:szCs w:val="24"/>
        </w:rPr>
        <w:t>e avisos exigidos pelo artigo 6°desta Lei;</w:t>
      </w:r>
    </w:p>
    <w:p w:rsidR="00295C8B" w:rsidRPr="00295C8B" w:rsidP="0002567B">
      <w:pPr>
        <w:spacing w:after="200" w:line="360" w:lineRule="auto"/>
        <w:ind w:firstLine="708"/>
        <w:jc w:val="both"/>
        <w:rPr>
          <w:sz w:val="24"/>
          <w:szCs w:val="24"/>
        </w:rPr>
      </w:pPr>
      <w:r w:rsidRPr="00295C8B">
        <w:rPr>
          <w:sz w:val="24"/>
          <w:szCs w:val="24"/>
        </w:rPr>
        <w:t>VI – ao cumprimento das determinações e notificações expedidas pelos órgãos competentes.</w:t>
      </w:r>
    </w:p>
    <w:p w:rsidR="00295C8B" w:rsidRPr="00295C8B" w:rsidP="00295C8B">
      <w:pPr>
        <w:spacing w:after="200" w:line="360" w:lineRule="auto"/>
        <w:ind w:firstLine="708"/>
        <w:jc w:val="both"/>
        <w:rPr>
          <w:sz w:val="24"/>
          <w:szCs w:val="24"/>
        </w:rPr>
      </w:pPr>
      <w:r w:rsidRPr="00295C8B">
        <w:rPr>
          <w:sz w:val="24"/>
          <w:szCs w:val="24"/>
        </w:rPr>
        <w:t>§ 1º A fiscalização poderá ocorrer de ofício, por meio de operações programadas ou em atendimento a denúncias formalizadas, inclusive em caráter conjunto com outros órgã</w:t>
      </w:r>
      <w:r>
        <w:rPr>
          <w:sz w:val="24"/>
          <w:szCs w:val="24"/>
        </w:rPr>
        <w:t>os públicos</w:t>
      </w:r>
      <w:r w:rsidR="0002567B">
        <w:rPr>
          <w:sz w:val="24"/>
          <w:szCs w:val="24"/>
        </w:rPr>
        <w:t xml:space="preserve"> de segurança como a Guarda Civil Municipal e a Polícia Militar</w:t>
      </w:r>
      <w:r>
        <w:rPr>
          <w:sz w:val="24"/>
          <w:szCs w:val="24"/>
        </w:rPr>
        <w:t>, quando necessário.</w:t>
      </w:r>
    </w:p>
    <w:p w:rsidR="00295C8B" w:rsidRPr="00295C8B" w:rsidP="00295C8B">
      <w:pPr>
        <w:spacing w:after="200" w:line="360" w:lineRule="auto"/>
        <w:ind w:firstLine="708"/>
        <w:jc w:val="both"/>
        <w:rPr>
          <w:sz w:val="24"/>
          <w:szCs w:val="24"/>
        </w:rPr>
      </w:pPr>
      <w:r w:rsidRPr="00295C8B">
        <w:rPr>
          <w:sz w:val="24"/>
          <w:szCs w:val="24"/>
        </w:rPr>
        <w:t>§ 2º Os estabelecimentos deverão permitir o acesso dos agentes públicos devidamente identificados às áreas sujeitas à fiscalização, observadas as garantias legais relativas à inviolabilidade de domicílio e às d</w:t>
      </w:r>
      <w:r>
        <w:rPr>
          <w:sz w:val="24"/>
          <w:szCs w:val="24"/>
        </w:rPr>
        <w:t>emais áreas protegidas por lei.</w:t>
      </w:r>
    </w:p>
    <w:p w:rsidR="00295C8B" w:rsidP="00295C8B">
      <w:pPr>
        <w:spacing w:after="200" w:line="360" w:lineRule="auto"/>
        <w:ind w:firstLine="708"/>
        <w:jc w:val="both"/>
        <w:rPr>
          <w:sz w:val="24"/>
          <w:szCs w:val="24"/>
        </w:rPr>
      </w:pPr>
      <w:r w:rsidRPr="00295C8B">
        <w:rPr>
          <w:sz w:val="24"/>
          <w:szCs w:val="24"/>
        </w:rPr>
        <w:t>§ 3º As denúncias recebidas deverão ser registradas e encaminhadas ao órgão competente para avaliação e ad</w:t>
      </w:r>
      <w:r>
        <w:rPr>
          <w:sz w:val="24"/>
          <w:szCs w:val="24"/>
        </w:rPr>
        <w:t>oção das providências cabíveis</w:t>
      </w:r>
      <w:r w:rsidR="0002567B">
        <w:rPr>
          <w:sz w:val="24"/>
          <w:szCs w:val="24"/>
        </w:rPr>
        <w:t>”</w:t>
      </w:r>
      <w:r>
        <w:rPr>
          <w:sz w:val="24"/>
          <w:szCs w:val="24"/>
        </w:rPr>
        <w:t>.</w:t>
      </w:r>
    </w:p>
    <w:p w:rsidR="00295C8B" w:rsidRPr="00295C8B" w:rsidP="00295C8B">
      <w:pPr>
        <w:spacing w:after="200" w:line="360" w:lineRule="auto"/>
        <w:ind w:firstLine="708"/>
        <w:jc w:val="both"/>
        <w:rPr>
          <w:sz w:val="24"/>
          <w:szCs w:val="24"/>
        </w:rPr>
      </w:pPr>
    </w:p>
    <w:p w:rsidR="00295C8B" w:rsidRPr="00295C8B" w:rsidP="00295C8B">
      <w:pPr>
        <w:spacing w:after="200" w:line="360" w:lineRule="auto"/>
        <w:ind w:firstLine="708"/>
        <w:jc w:val="both"/>
        <w:rPr>
          <w:sz w:val="24"/>
          <w:szCs w:val="24"/>
        </w:rPr>
      </w:pPr>
      <w:r>
        <w:rPr>
          <w:sz w:val="24"/>
          <w:szCs w:val="24"/>
        </w:rPr>
        <w:t>“</w:t>
      </w:r>
      <w:r w:rsidRPr="00295C8B">
        <w:rPr>
          <w:sz w:val="24"/>
          <w:szCs w:val="24"/>
        </w:rPr>
        <w:t>Art. 4º-B. Constatada infração a esta Lei, o agente fiscalizador lavrará auto de</w:t>
      </w:r>
      <w:r>
        <w:rPr>
          <w:sz w:val="24"/>
          <w:szCs w:val="24"/>
        </w:rPr>
        <w:t xml:space="preserve"> infração, contendo, no mínimo:</w:t>
      </w:r>
    </w:p>
    <w:p w:rsidR="00295C8B" w:rsidRPr="00295C8B" w:rsidP="00295C8B">
      <w:pPr>
        <w:spacing w:after="200" w:line="360" w:lineRule="auto"/>
        <w:ind w:firstLine="708"/>
        <w:jc w:val="both"/>
        <w:rPr>
          <w:sz w:val="24"/>
          <w:szCs w:val="24"/>
        </w:rPr>
      </w:pPr>
      <w:r w:rsidRPr="00295C8B">
        <w:rPr>
          <w:sz w:val="24"/>
          <w:szCs w:val="24"/>
        </w:rPr>
        <w:t>I – a identificação do estabelecimento e, q</w:t>
      </w:r>
      <w:r>
        <w:rPr>
          <w:sz w:val="24"/>
          <w:szCs w:val="24"/>
        </w:rPr>
        <w:t>uando possível, do responsável;</w:t>
      </w:r>
    </w:p>
    <w:p w:rsidR="00295C8B" w:rsidRPr="00295C8B" w:rsidP="00295C8B">
      <w:pPr>
        <w:spacing w:after="200" w:line="360" w:lineRule="auto"/>
        <w:ind w:firstLine="708"/>
        <w:jc w:val="both"/>
        <w:rPr>
          <w:sz w:val="24"/>
          <w:szCs w:val="24"/>
        </w:rPr>
      </w:pPr>
      <w:r w:rsidRPr="00295C8B">
        <w:rPr>
          <w:sz w:val="24"/>
          <w:szCs w:val="24"/>
        </w:rPr>
        <w:t>II – a data, o ho</w:t>
      </w:r>
      <w:r>
        <w:rPr>
          <w:sz w:val="24"/>
          <w:szCs w:val="24"/>
        </w:rPr>
        <w:t>rário e o local da constatação;</w:t>
      </w:r>
    </w:p>
    <w:p w:rsidR="00295C8B" w:rsidRPr="00295C8B" w:rsidP="00295C8B">
      <w:pPr>
        <w:spacing w:after="200" w:line="360" w:lineRule="auto"/>
        <w:ind w:firstLine="708"/>
        <w:jc w:val="both"/>
        <w:rPr>
          <w:sz w:val="24"/>
          <w:szCs w:val="24"/>
        </w:rPr>
      </w:pPr>
      <w:r w:rsidRPr="00295C8B">
        <w:rPr>
          <w:sz w:val="24"/>
          <w:szCs w:val="24"/>
        </w:rPr>
        <w:t xml:space="preserve">III – a descrição objetiva dos fatos e </w:t>
      </w:r>
      <w:r>
        <w:rPr>
          <w:sz w:val="24"/>
          <w:szCs w:val="24"/>
        </w:rPr>
        <w:t>da disposição legal infringida;</w:t>
      </w:r>
    </w:p>
    <w:p w:rsidR="00295C8B" w:rsidRPr="00295C8B" w:rsidP="00295C8B">
      <w:pPr>
        <w:spacing w:after="200" w:line="360" w:lineRule="auto"/>
        <w:ind w:firstLine="708"/>
        <w:jc w:val="both"/>
        <w:rPr>
          <w:sz w:val="24"/>
          <w:szCs w:val="24"/>
        </w:rPr>
      </w:pPr>
      <w:r w:rsidRPr="00295C8B">
        <w:rPr>
          <w:sz w:val="24"/>
          <w:szCs w:val="24"/>
        </w:rPr>
        <w:t>IV – os elementos de prova disponíveis, inclusive registros fotográficos, audiovisuais o</w:t>
      </w:r>
      <w:r>
        <w:rPr>
          <w:sz w:val="24"/>
          <w:szCs w:val="24"/>
        </w:rPr>
        <w:t>u documentais, quando cabíveis;</w:t>
      </w:r>
    </w:p>
    <w:p w:rsidR="00295C8B" w:rsidRPr="00295C8B" w:rsidP="00295C8B">
      <w:pPr>
        <w:spacing w:after="200" w:line="360" w:lineRule="auto"/>
        <w:ind w:firstLine="708"/>
        <w:jc w:val="both"/>
        <w:rPr>
          <w:sz w:val="24"/>
          <w:szCs w:val="24"/>
        </w:rPr>
      </w:pPr>
      <w:r w:rsidRPr="00295C8B">
        <w:rPr>
          <w:sz w:val="24"/>
          <w:szCs w:val="24"/>
        </w:rPr>
        <w:t>V – a penalidade aplicável ou a indicação da providê</w:t>
      </w:r>
      <w:r>
        <w:rPr>
          <w:sz w:val="24"/>
          <w:szCs w:val="24"/>
        </w:rPr>
        <w:t>ncia administrativa pertinente;</w:t>
      </w:r>
    </w:p>
    <w:p w:rsidR="00295C8B" w:rsidRPr="00295C8B" w:rsidP="00295C8B">
      <w:pPr>
        <w:spacing w:after="200" w:line="360" w:lineRule="auto"/>
        <w:ind w:firstLine="708"/>
        <w:jc w:val="both"/>
        <w:rPr>
          <w:sz w:val="24"/>
          <w:szCs w:val="24"/>
        </w:rPr>
      </w:pPr>
      <w:r w:rsidRPr="00295C8B">
        <w:rPr>
          <w:sz w:val="24"/>
          <w:szCs w:val="24"/>
        </w:rPr>
        <w:t>VI – o prazo e os meios para apresen</w:t>
      </w:r>
      <w:r>
        <w:rPr>
          <w:sz w:val="24"/>
          <w:szCs w:val="24"/>
        </w:rPr>
        <w:t>tação de defesa administrativa.</w:t>
      </w:r>
    </w:p>
    <w:p w:rsidR="00295C8B" w:rsidRPr="00295C8B" w:rsidP="00295C8B">
      <w:pPr>
        <w:spacing w:after="200" w:line="360" w:lineRule="auto"/>
        <w:ind w:firstLine="708"/>
        <w:jc w:val="both"/>
        <w:rPr>
          <w:sz w:val="24"/>
          <w:szCs w:val="24"/>
        </w:rPr>
      </w:pPr>
      <w:r w:rsidRPr="00295C8B">
        <w:rPr>
          <w:sz w:val="24"/>
          <w:szCs w:val="24"/>
        </w:rPr>
        <w:t>Parágrafo único. A recusa do responsável em assinar o auto de infração não impedirá o prosseguimento do procedimento administrativo, desde que a recusa seja devidamente registrada</w:t>
      </w:r>
      <w:r w:rsidR="0002567B">
        <w:rPr>
          <w:sz w:val="24"/>
          <w:szCs w:val="24"/>
        </w:rPr>
        <w:t>”</w:t>
      </w:r>
      <w:r w:rsidRPr="00295C8B">
        <w:rPr>
          <w:sz w:val="24"/>
          <w:szCs w:val="24"/>
        </w:rPr>
        <w:t>.</w:t>
      </w:r>
    </w:p>
    <w:p w:rsidR="00295C8B" w:rsidRPr="00295C8B" w:rsidP="00295C8B">
      <w:pPr>
        <w:spacing w:after="200" w:line="360" w:lineRule="auto"/>
        <w:ind w:firstLine="708"/>
        <w:jc w:val="both"/>
        <w:rPr>
          <w:sz w:val="24"/>
          <w:szCs w:val="24"/>
        </w:rPr>
      </w:pPr>
    </w:p>
    <w:p w:rsidR="00295C8B" w:rsidRPr="00295C8B" w:rsidP="0002567B">
      <w:pPr>
        <w:spacing w:after="200" w:line="360" w:lineRule="auto"/>
        <w:ind w:firstLine="708"/>
        <w:jc w:val="both"/>
        <w:rPr>
          <w:sz w:val="24"/>
          <w:szCs w:val="24"/>
        </w:rPr>
      </w:pPr>
      <w:r>
        <w:rPr>
          <w:sz w:val="24"/>
          <w:szCs w:val="24"/>
        </w:rPr>
        <w:t>“</w:t>
      </w:r>
      <w:r w:rsidRPr="00295C8B">
        <w:rPr>
          <w:sz w:val="24"/>
          <w:szCs w:val="24"/>
        </w:rPr>
        <w:t>Art. 4º-C. A aplicação das penalidades observará a gravidade da infração, a existência de reincidência, a vantagem auferida, a extensão dos danos ou riscos causados e a conduta do infrator para cessar ou corrigir a irregularidade.</w:t>
      </w:r>
    </w:p>
    <w:p w:rsidR="00295C8B" w:rsidRPr="00295C8B" w:rsidP="00295C8B">
      <w:pPr>
        <w:spacing w:after="200" w:line="360" w:lineRule="auto"/>
        <w:ind w:firstLine="708"/>
        <w:jc w:val="both"/>
        <w:rPr>
          <w:sz w:val="24"/>
          <w:szCs w:val="24"/>
        </w:rPr>
      </w:pPr>
      <w:r w:rsidRPr="00295C8B">
        <w:rPr>
          <w:sz w:val="24"/>
          <w:szCs w:val="24"/>
        </w:rPr>
        <w:t>§ 1º Considera-se reincidência a prática de nova infração à mesma disposição legal pelo mesmo infrator, após decisão administrativa definitiva relativa à infração anterior, dentro</w:t>
      </w:r>
      <w:r w:rsidR="0002567B">
        <w:rPr>
          <w:sz w:val="24"/>
          <w:szCs w:val="24"/>
        </w:rPr>
        <w:t xml:space="preserve"> do período de 36 (trinta e seis</w:t>
      </w:r>
      <w:r>
        <w:rPr>
          <w:sz w:val="24"/>
          <w:szCs w:val="24"/>
        </w:rPr>
        <w:t>) meses.</w:t>
      </w:r>
    </w:p>
    <w:p w:rsidR="00295C8B" w:rsidP="00295C8B">
      <w:pPr>
        <w:spacing w:after="200" w:line="360" w:lineRule="auto"/>
        <w:ind w:firstLine="708"/>
        <w:jc w:val="both"/>
        <w:rPr>
          <w:sz w:val="24"/>
          <w:szCs w:val="24"/>
        </w:rPr>
      </w:pPr>
      <w:r w:rsidRPr="00295C8B">
        <w:rPr>
          <w:sz w:val="24"/>
          <w:szCs w:val="24"/>
        </w:rPr>
        <w:t xml:space="preserve">§ 2º Infrações distintas poderão ser objeto de autuação própria, vedada a duplicidade </w:t>
      </w:r>
      <w:r>
        <w:rPr>
          <w:sz w:val="24"/>
          <w:szCs w:val="24"/>
        </w:rPr>
        <w:t>de penalização pelo mesmo fato</w:t>
      </w:r>
      <w:r w:rsidR="0002567B">
        <w:rPr>
          <w:sz w:val="24"/>
          <w:szCs w:val="24"/>
        </w:rPr>
        <w:t>”</w:t>
      </w:r>
      <w:r>
        <w:rPr>
          <w:sz w:val="24"/>
          <w:szCs w:val="24"/>
        </w:rPr>
        <w:t>.</w:t>
      </w:r>
    </w:p>
    <w:p w:rsidR="0002567B" w:rsidP="00295C8B">
      <w:pPr>
        <w:spacing w:after="200" w:line="360" w:lineRule="auto"/>
        <w:ind w:firstLine="708"/>
        <w:jc w:val="both"/>
        <w:rPr>
          <w:sz w:val="24"/>
          <w:szCs w:val="24"/>
        </w:rPr>
      </w:pPr>
    </w:p>
    <w:p w:rsidR="0002567B" w:rsidP="00295C8B">
      <w:pPr>
        <w:spacing w:after="200" w:line="360" w:lineRule="auto"/>
        <w:ind w:firstLine="708"/>
        <w:jc w:val="both"/>
        <w:rPr>
          <w:sz w:val="24"/>
          <w:szCs w:val="24"/>
        </w:rPr>
      </w:pPr>
    </w:p>
    <w:p w:rsidR="00295C8B" w:rsidRPr="00295C8B" w:rsidP="0002567B">
      <w:pPr>
        <w:spacing w:after="200" w:line="360" w:lineRule="auto"/>
        <w:ind w:firstLine="708"/>
        <w:jc w:val="both"/>
        <w:rPr>
          <w:sz w:val="24"/>
          <w:szCs w:val="24"/>
        </w:rPr>
      </w:pPr>
      <w:r>
        <w:rPr>
          <w:sz w:val="24"/>
          <w:szCs w:val="24"/>
        </w:rPr>
        <w:t>Art. 2º O artigo 5° da</w:t>
      </w:r>
      <w:r w:rsidRPr="0002567B">
        <w:rPr>
          <w:sz w:val="24"/>
          <w:szCs w:val="24"/>
        </w:rPr>
        <w:t xml:space="preserve"> Lei Ordinária nº 4.092, de 10 de novembro de 2005, passa a vigorar </w:t>
      </w:r>
      <w:r>
        <w:rPr>
          <w:sz w:val="24"/>
          <w:szCs w:val="24"/>
        </w:rPr>
        <w:t>com a seguinte redação</w:t>
      </w:r>
      <w:r w:rsidRPr="0002567B">
        <w:rPr>
          <w:sz w:val="24"/>
          <w:szCs w:val="24"/>
        </w:rPr>
        <w:t>:</w:t>
      </w:r>
    </w:p>
    <w:p w:rsidR="00295C8B" w:rsidRPr="00295C8B" w:rsidP="00295C8B">
      <w:pPr>
        <w:spacing w:after="200" w:line="360" w:lineRule="auto"/>
        <w:ind w:firstLine="708"/>
        <w:jc w:val="both"/>
        <w:rPr>
          <w:sz w:val="24"/>
          <w:szCs w:val="24"/>
        </w:rPr>
      </w:pPr>
      <w:r>
        <w:rPr>
          <w:sz w:val="24"/>
          <w:szCs w:val="24"/>
        </w:rPr>
        <w:t>“</w:t>
      </w:r>
      <w:r w:rsidRPr="00295C8B">
        <w:rPr>
          <w:sz w:val="24"/>
          <w:szCs w:val="24"/>
        </w:rPr>
        <w:t xml:space="preserve">Art. 5º Sempre que situações de interesse público exigirem, o Poder Executivo, por meio dos órgãos competentes e mediante decisão devidamente fundamentada, poderá determinar a suspensão ou a cassação do alvará de funcionamento dos estabelecimentos abrangidos por esta Lei, observados o devido processo </w:t>
      </w:r>
      <w:r>
        <w:rPr>
          <w:sz w:val="24"/>
          <w:szCs w:val="24"/>
        </w:rPr>
        <w:t>legal e a legislação aplicável.</w:t>
      </w:r>
    </w:p>
    <w:p w:rsidR="00295C8B" w:rsidRPr="00295C8B" w:rsidP="00295C8B">
      <w:pPr>
        <w:spacing w:after="200" w:line="360" w:lineRule="auto"/>
        <w:ind w:firstLine="708"/>
        <w:jc w:val="both"/>
        <w:rPr>
          <w:sz w:val="24"/>
          <w:szCs w:val="24"/>
        </w:rPr>
      </w:pPr>
      <w:r w:rsidRPr="00295C8B">
        <w:rPr>
          <w:sz w:val="24"/>
          <w:szCs w:val="24"/>
        </w:rPr>
        <w:t>§ 1º A suspensão ou cassação do alvará poderá ser aplicada, especial</w:t>
      </w:r>
      <w:r>
        <w:rPr>
          <w:sz w:val="24"/>
          <w:szCs w:val="24"/>
        </w:rPr>
        <w:t>mente, nas seguintes hipóteses:</w:t>
      </w:r>
    </w:p>
    <w:p w:rsidR="00295C8B" w:rsidRPr="00295C8B" w:rsidP="00295C8B">
      <w:pPr>
        <w:spacing w:after="200" w:line="360" w:lineRule="auto"/>
        <w:ind w:firstLine="708"/>
        <w:jc w:val="both"/>
        <w:rPr>
          <w:sz w:val="24"/>
          <w:szCs w:val="24"/>
        </w:rPr>
      </w:pPr>
      <w:r w:rsidRPr="00295C8B">
        <w:rPr>
          <w:sz w:val="24"/>
          <w:szCs w:val="24"/>
        </w:rPr>
        <w:t>I – funcionamento reiterado em desa</w:t>
      </w:r>
      <w:r>
        <w:rPr>
          <w:sz w:val="24"/>
          <w:szCs w:val="24"/>
        </w:rPr>
        <w:t>cordo com o horário autorizado;</w:t>
      </w:r>
    </w:p>
    <w:p w:rsidR="00295C8B" w:rsidRPr="00295C8B" w:rsidP="00295C8B">
      <w:pPr>
        <w:spacing w:after="200" w:line="360" w:lineRule="auto"/>
        <w:ind w:firstLine="708"/>
        <w:jc w:val="both"/>
        <w:rPr>
          <w:sz w:val="24"/>
          <w:szCs w:val="24"/>
        </w:rPr>
      </w:pPr>
      <w:r w:rsidRPr="00295C8B">
        <w:rPr>
          <w:sz w:val="24"/>
          <w:szCs w:val="24"/>
        </w:rPr>
        <w:t>II – descumprimento de determinação admini</w:t>
      </w:r>
      <w:r>
        <w:rPr>
          <w:sz w:val="24"/>
          <w:szCs w:val="24"/>
        </w:rPr>
        <w:t>strativa regularmente expedida;</w:t>
      </w:r>
    </w:p>
    <w:p w:rsidR="00295C8B" w:rsidRPr="00295C8B" w:rsidP="00295C8B">
      <w:pPr>
        <w:spacing w:after="200" w:line="360" w:lineRule="auto"/>
        <w:ind w:firstLine="708"/>
        <w:jc w:val="both"/>
        <w:rPr>
          <w:sz w:val="24"/>
          <w:szCs w:val="24"/>
        </w:rPr>
      </w:pPr>
      <w:r w:rsidRPr="00295C8B">
        <w:rPr>
          <w:sz w:val="24"/>
          <w:szCs w:val="24"/>
        </w:rPr>
        <w:t xml:space="preserve">III – reincidência reiterada em infrações que comprometam o sossego público, a segurança ou </w:t>
      </w:r>
      <w:r>
        <w:rPr>
          <w:sz w:val="24"/>
          <w:szCs w:val="24"/>
        </w:rPr>
        <w:t>a saúde da população;</w:t>
      </w:r>
    </w:p>
    <w:p w:rsidR="00295C8B" w:rsidRPr="00295C8B" w:rsidP="00295C8B">
      <w:pPr>
        <w:spacing w:after="200" w:line="360" w:lineRule="auto"/>
        <w:ind w:firstLine="708"/>
        <w:jc w:val="both"/>
        <w:rPr>
          <w:sz w:val="24"/>
          <w:szCs w:val="24"/>
        </w:rPr>
      </w:pPr>
      <w:r w:rsidRPr="00295C8B">
        <w:rPr>
          <w:sz w:val="24"/>
          <w:szCs w:val="24"/>
        </w:rPr>
        <w:t>IV – funcionamento sem licença ou em desacordo com condições essen</w:t>
      </w:r>
      <w:r>
        <w:rPr>
          <w:sz w:val="24"/>
          <w:szCs w:val="24"/>
        </w:rPr>
        <w:t>ciais da autorização concedida;</w:t>
      </w:r>
    </w:p>
    <w:p w:rsidR="00295C8B" w:rsidRPr="00295C8B" w:rsidP="00295C8B">
      <w:pPr>
        <w:spacing w:after="200" w:line="360" w:lineRule="auto"/>
        <w:ind w:firstLine="708"/>
        <w:jc w:val="both"/>
        <w:rPr>
          <w:sz w:val="24"/>
          <w:szCs w:val="24"/>
        </w:rPr>
      </w:pPr>
      <w:r w:rsidRPr="00295C8B">
        <w:rPr>
          <w:sz w:val="24"/>
          <w:szCs w:val="24"/>
        </w:rPr>
        <w:t>V – apresentação de documentos falsos ou prestação de informações fraudulentas para ob</w:t>
      </w:r>
      <w:r>
        <w:rPr>
          <w:sz w:val="24"/>
          <w:szCs w:val="24"/>
        </w:rPr>
        <w:t>tenção ou manutenção do alvará;</w:t>
      </w:r>
    </w:p>
    <w:p w:rsidR="00295C8B" w:rsidRPr="00295C8B" w:rsidP="0002567B">
      <w:pPr>
        <w:spacing w:after="200" w:line="360" w:lineRule="auto"/>
        <w:ind w:firstLine="708"/>
        <w:jc w:val="both"/>
        <w:rPr>
          <w:sz w:val="24"/>
          <w:szCs w:val="24"/>
        </w:rPr>
      </w:pPr>
      <w:r w:rsidRPr="00295C8B">
        <w:rPr>
          <w:sz w:val="24"/>
          <w:szCs w:val="24"/>
        </w:rPr>
        <w:t>VI – constatação de risco grave e iminente à segurança ou à saúde pública, na forma da legislação aplicável.</w:t>
      </w:r>
    </w:p>
    <w:p w:rsidR="00295C8B" w:rsidRPr="00295C8B" w:rsidP="00295C8B">
      <w:pPr>
        <w:spacing w:after="200" w:line="360" w:lineRule="auto"/>
        <w:ind w:firstLine="708"/>
        <w:jc w:val="both"/>
        <w:rPr>
          <w:sz w:val="24"/>
          <w:szCs w:val="24"/>
        </w:rPr>
      </w:pPr>
      <w:r w:rsidRPr="00295C8B">
        <w:rPr>
          <w:sz w:val="24"/>
          <w:szCs w:val="24"/>
        </w:rPr>
        <w:t>§ 2º A suspensão ou cassação deverá ser precedida de processo administrativo, assegurados o contraditório e a ampla defesa, ressalvadas as medidas c</w:t>
      </w:r>
      <w:r>
        <w:rPr>
          <w:sz w:val="24"/>
          <w:szCs w:val="24"/>
        </w:rPr>
        <w:t>autelares legalmente admitidas.</w:t>
      </w:r>
    </w:p>
    <w:p w:rsidR="00295C8B" w:rsidP="00295C8B">
      <w:pPr>
        <w:spacing w:after="200" w:line="360" w:lineRule="auto"/>
        <w:ind w:firstLine="708"/>
        <w:jc w:val="both"/>
        <w:rPr>
          <w:sz w:val="24"/>
          <w:szCs w:val="24"/>
        </w:rPr>
      </w:pPr>
      <w:r w:rsidRPr="00295C8B">
        <w:rPr>
          <w:sz w:val="24"/>
          <w:szCs w:val="24"/>
        </w:rPr>
        <w:t>§ 3º A cassação do alvará não impede a aplicação cumulativa das demais sanções cabíveis, desde que o</w:t>
      </w:r>
      <w:r>
        <w:rPr>
          <w:sz w:val="24"/>
          <w:szCs w:val="24"/>
        </w:rPr>
        <w:t>bservados os requisitos legais</w:t>
      </w:r>
      <w:r w:rsidR="0002567B">
        <w:rPr>
          <w:sz w:val="24"/>
          <w:szCs w:val="24"/>
        </w:rPr>
        <w:t>”</w:t>
      </w:r>
      <w:r>
        <w:rPr>
          <w:sz w:val="24"/>
          <w:szCs w:val="24"/>
        </w:rPr>
        <w:t>.</w:t>
      </w:r>
    </w:p>
    <w:p w:rsidR="00295C8B" w:rsidRPr="00295C8B" w:rsidP="00295C8B">
      <w:pPr>
        <w:spacing w:after="200" w:line="360" w:lineRule="auto"/>
        <w:ind w:firstLine="708"/>
        <w:jc w:val="both"/>
        <w:rPr>
          <w:sz w:val="24"/>
          <w:szCs w:val="24"/>
        </w:rPr>
      </w:pPr>
    </w:p>
    <w:p w:rsidR="0002567B" w:rsidP="00295C8B">
      <w:pPr>
        <w:spacing w:after="200" w:line="360" w:lineRule="auto"/>
        <w:ind w:firstLine="708"/>
        <w:jc w:val="both"/>
        <w:rPr>
          <w:sz w:val="24"/>
          <w:szCs w:val="24"/>
        </w:rPr>
      </w:pPr>
    </w:p>
    <w:p w:rsidR="0002567B" w:rsidP="0002567B">
      <w:pPr>
        <w:spacing w:after="200" w:line="360" w:lineRule="auto"/>
        <w:ind w:firstLine="708"/>
        <w:jc w:val="both"/>
        <w:rPr>
          <w:sz w:val="24"/>
          <w:szCs w:val="24"/>
        </w:rPr>
      </w:pPr>
      <w:r>
        <w:rPr>
          <w:sz w:val="24"/>
          <w:szCs w:val="24"/>
        </w:rPr>
        <w:t>Art. 3</w:t>
      </w:r>
      <w:r>
        <w:rPr>
          <w:sz w:val="24"/>
          <w:szCs w:val="24"/>
        </w:rPr>
        <w:t xml:space="preserve">º O </w:t>
      </w:r>
      <w:r>
        <w:rPr>
          <w:sz w:val="24"/>
          <w:szCs w:val="24"/>
        </w:rPr>
        <w:t>artigo 7</w:t>
      </w:r>
      <w:r>
        <w:rPr>
          <w:sz w:val="24"/>
          <w:szCs w:val="24"/>
        </w:rPr>
        <w:t>° da</w:t>
      </w:r>
      <w:r w:rsidRPr="0002567B">
        <w:rPr>
          <w:sz w:val="24"/>
          <w:szCs w:val="24"/>
        </w:rPr>
        <w:t xml:space="preserve"> Lei Ordinária nº 4.092, de 10 de novembro de 2005, passa a vigorar </w:t>
      </w:r>
      <w:r>
        <w:rPr>
          <w:sz w:val="24"/>
          <w:szCs w:val="24"/>
        </w:rPr>
        <w:t>com a seguinte redação</w:t>
      </w:r>
      <w:r w:rsidRPr="0002567B">
        <w:rPr>
          <w:sz w:val="24"/>
          <w:szCs w:val="24"/>
        </w:rPr>
        <w:t>:</w:t>
      </w:r>
    </w:p>
    <w:p w:rsidR="00295C8B" w:rsidRPr="00295C8B" w:rsidP="00295C8B">
      <w:pPr>
        <w:spacing w:after="200" w:line="360" w:lineRule="auto"/>
        <w:ind w:firstLine="708"/>
        <w:jc w:val="both"/>
        <w:rPr>
          <w:sz w:val="24"/>
          <w:szCs w:val="24"/>
        </w:rPr>
      </w:pPr>
      <w:r>
        <w:rPr>
          <w:sz w:val="24"/>
          <w:szCs w:val="24"/>
        </w:rPr>
        <w:t>“</w:t>
      </w:r>
      <w:r w:rsidRPr="00295C8B">
        <w:rPr>
          <w:sz w:val="24"/>
          <w:szCs w:val="24"/>
        </w:rPr>
        <w:t>Art. 7º O descumprimento das disposições desta Lei sujeitará o infrator, sem prejuízo das demais medidas administrativas e legais cabí</w:t>
      </w:r>
      <w:r>
        <w:rPr>
          <w:sz w:val="24"/>
          <w:szCs w:val="24"/>
        </w:rPr>
        <w:t>veis, às seguintes penalidades:</w:t>
      </w:r>
    </w:p>
    <w:p w:rsidR="00295C8B" w:rsidRPr="00295C8B" w:rsidP="00295C8B">
      <w:pPr>
        <w:spacing w:after="200" w:line="360" w:lineRule="auto"/>
        <w:ind w:firstLine="708"/>
        <w:jc w:val="both"/>
        <w:rPr>
          <w:sz w:val="24"/>
          <w:szCs w:val="24"/>
        </w:rPr>
      </w:pPr>
      <w:r w:rsidRPr="00295C8B">
        <w:rPr>
          <w:sz w:val="24"/>
          <w:szCs w:val="24"/>
        </w:rPr>
        <w:t>I – na primeira infração: multa d</w:t>
      </w:r>
      <w:r w:rsidR="005F14DC">
        <w:rPr>
          <w:sz w:val="24"/>
          <w:szCs w:val="24"/>
        </w:rPr>
        <w:t>e R$ 5.000,00 (cinco</w:t>
      </w:r>
      <w:r>
        <w:rPr>
          <w:sz w:val="24"/>
          <w:szCs w:val="24"/>
        </w:rPr>
        <w:t xml:space="preserve"> mil reais);</w:t>
      </w:r>
    </w:p>
    <w:p w:rsidR="005F14DC" w:rsidRPr="00295C8B" w:rsidP="005F14DC">
      <w:pPr>
        <w:spacing w:after="200" w:line="360" w:lineRule="auto"/>
        <w:ind w:firstLine="708"/>
        <w:jc w:val="both"/>
        <w:rPr>
          <w:sz w:val="24"/>
          <w:szCs w:val="24"/>
        </w:rPr>
      </w:pPr>
      <w:r w:rsidRPr="00295C8B">
        <w:rPr>
          <w:sz w:val="24"/>
          <w:szCs w:val="24"/>
        </w:rPr>
        <w:t xml:space="preserve">II – na reincidência: multa de </w:t>
      </w:r>
      <w:r>
        <w:rPr>
          <w:sz w:val="24"/>
          <w:szCs w:val="24"/>
        </w:rPr>
        <w:t>R$ 10.000,00 (dez</w:t>
      </w:r>
      <w:r>
        <w:rPr>
          <w:sz w:val="24"/>
          <w:szCs w:val="24"/>
        </w:rPr>
        <w:t xml:space="preserve"> mil reais)</w:t>
      </w:r>
      <w:r>
        <w:rPr>
          <w:sz w:val="24"/>
          <w:szCs w:val="24"/>
        </w:rPr>
        <w:t>, com consequente</w:t>
      </w:r>
      <w:r w:rsidRPr="00295C8B">
        <w:rPr>
          <w:sz w:val="24"/>
          <w:szCs w:val="24"/>
        </w:rPr>
        <w:t xml:space="preserve"> suspensão ou a cassação do alvará, conforme a gravidade dos fatos e me</w:t>
      </w:r>
      <w:r>
        <w:rPr>
          <w:sz w:val="24"/>
          <w:szCs w:val="24"/>
        </w:rPr>
        <w:t>diante processo administrativo.</w:t>
      </w:r>
    </w:p>
    <w:p w:rsidR="00295C8B" w:rsidRPr="00295C8B" w:rsidP="00295C8B">
      <w:pPr>
        <w:spacing w:after="200" w:line="360" w:lineRule="auto"/>
        <w:ind w:firstLine="708"/>
        <w:jc w:val="both"/>
        <w:rPr>
          <w:sz w:val="24"/>
          <w:szCs w:val="24"/>
        </w:rPr>
      </w:pPr>
      <w:r w:rsidRPr="00295C8B">
        <w:rPr>
          <w:sz w:val="24"/>
          <w:szCs w:val="24"/>
        </w:rPr>
        <w:t>§ 1º Os valores das multas ser</w:t>
      </w:r>
      <w:r w:rsidR="005F14DC">
        <w:rPr>
          <w:sz w:val="24"/>
          <w:szCs w:val="24"/>
        </w:rPr>
        <w:t>ão atualizados anualmente pelo Í</w:t>
      </w:r>
      <w:r w:rsidRPr="00295C8B">
        <w:rPr>
          <w:sz w:val="24"/>
          <w:szCs w:val="24"/>
        </w:rPr>
        <w:t>ndice</w:t>
      </w:r>
      <w:r w:rsidR="005F14DC">
        <w:rPr>
          <w:sz w:val="24"/>
          <w:szCs w:val="24"/>
        </w:rPr>
        <w:t xml:space="preserve"> de Preços ao Consumidor Amplo (IPCA)</w:t>
      </w:r>
      <w:r w:rsidRPr="00295C8B">
        <w:rPr>
          <w:sz w:val="24"/>
          <w:szCs w:val="24"/>
        </w:rPr>
        <w:t>, ou por outro que legalmente o substitua, v</w:t>
      </w:r>
      <w:r>
        <w:rPr>
          <w:sz w:val="24"/>
          <w:szCs w:val="24"/>
        </w:rPr>
        <w:t>edada a atualização retroativa.</w:t>
      </w:r>
    </w:p>
    <w:p w:rsidR="00295C8B" w:rsidRPr="00295C8B" w:rsidP="00295C8B">
      <w:pPr>
        <w:spacing w:after="200" w:line="360" w:lineRule="auto"/>
        <w:ind w:firstLine="708"/>
        <w:jc w:val="both"/>
        <w:rPr>
          <w:sz w:val="24"/>
          <w:szCs w:val="24"/>
        </w:rPr>
      </w:pPr>
      <w:r w:rsidRPr="00295C8B">
        <w:rPr>
          <w:sz w:val="24"/>
          <w:szCs w:val="24"/>
        </w:rPr>
        <w:t>§ 2º A aplicação das penalidades previstas neste artigo não afasta a obrigação de cessar imediatamente a irregularidade nem o dever de re</w:t>
      </w:r>
      <w:r>
        <w:rPr>
          <w:sz w:val="24"/>
          <w:szCs w:val="24"/>
        </w:rPr>
        <w:t>parar eventuais danos causados.</w:t>
      </w:r>
    </w:p>
    <w:p w:rsidR="00295C8B" w:rsidRPr="00295C8B" w:rsidP="00295C8B">
      <w:pPr>
        <w:spacing w:after="200" w:line="360" w:lineRule="auto"/>
        <w:ind w:firstLine="708"/>
        <w:jc w:val="both"/>
        <w:rPr>
          <w:sz w:val="24"/>
          <w:szCs w:val="24"/>
        </w:rPr>
      </w:pPr>
      <w:r w:rsidRPr="00295C8B">
        <w:rPr>
          <w:sz w:val="24"/>
          <w:szCs w:val="24"/>
        </w:rPr>
        <w:t xml:space="preserve">§ 3º Quando a infração consistir na manutenção de situação irregular passível de correção, poderá ser fixado prazo para regularização, sem prejuízo </w:t>
      </w:r>
      <w:r>
        <w:rPr>
          <w:sz w:val="24"/>
          <w:szCs w:val="24"/>
        </w:rPr>
        <w:t>da aplicação da sanção cabível.</w:t>
      </w:r>
    </w:p>
    <w:p w:rsidR="00295C8B" w:rsidRPr="00295C8B" w:rsidP="005F14DC">
      <w:pPr>
        <w:spacing w:after="200" w:line="360" w:lineRule="auto"/>
        <w:ind w:firstLine="708"/>
        <w:jc w:val="both"/>
        <w:rPr>
          <w:sz w:val="24"/>
          <w:szCs w:val="24"/>
        </w:rPr>
      </w:pPr>
      <w:r w:rsidRPr="00295C8B">
        <w:rPr>
          <w:sz w:val="24"/>
          <w:szCs w:val="24"/>
        </w:rPr>
        <w:t>§ 4º O descumprimento de determinação administrativa regularmente expedida poderá ensejar nova autuação, desde que caracterizada infração autônoma.</w:t>
      </w:r>
    </w:p>
    <w:p w:rsidR="00295C8B" w:rsidRPr="00295C8B" w:rsidP="00295C8B">
      <w:pPr>
        <w:spacing w:after="200" w:line="360" w:lineRule="auto"/>
        <w:ind w:firstLine="708"/>
        <w:jc w:val="both"/>
        <w:rPr>
          <w:sz w:val="24"/>
          <w:szCs w:val="24"/>
        </w:rPr>
      </w:pPr>
      <w:r w:rsidRPr="00295C8B">
        <w:rPr>
          <w:sz w:val="24"/>
          <w:szCs w:val="24"/>
        </w:rPr>
        <w:t>§ 5º A multa poderá ser aplicada cumulativamente com a interdição, suspensão ou cassação do alvará, quando legalmente cabível e</w:t>
      </w:r>
      <w:r>
        <w:rPr>
          <w:sz w:val="24"/>
          <w:szCs w:val="24"/>
        </w:rPr>
        <w:t xml:space="preserve"> mediante decisão fundamentada.</w:t>
      </w:r>
    </w:p>
    <w:p w:rsidR="00295C8B" w:rsidP="00295C8B">
      <w:pPr>
        <w:spacing w:after="200" w:line="360" w:lineRule="auto"/>
        <w:ind w:firstLine="708"/>
        <w:jc w:val="both"/>
        <w:rPr>
          <w:sz w:val="24"/>
          <w:szCs w:val="24"/>
        </w:rPr>
      </w:pPr>
      <w:r w:rsidRPr="00295C8B">
        <w:rPr>
          <w:sz w:val="24"/>
          <w:szCs w:val="24"/>
        </w:rPr>
        <w:t>§ 6º A interdição cautelar do estabelecimento poderá ser determinada pela autoridade competente diante de risco grave e iminente à saúde, à segurança ou à ordem pública, observados os requisitos legais, a motivação do ato e o procedimento administrativo aplicável.</w:t>
      </w:r>
    </w:p>
    <w:p w:rsidR="005F14DC" w:rsidP="00295C8B">
      <w:pPr>
        <w:spacing w:after="200" w:line="360" w:lineRule="auto"/>
        <w:ind w:firstLine="708"/>
        <w:jc w:val="both"/>
        <w:rPr>
          <w:sz w:val="24"/>
          <w:szCs w:val="24"/>
        </w:rPr>
      </w:pPr>
      <w:r w:rsidRPr="005F14DC">
        <w:rPr>
          <w:sz w:val="24"/>
          <w:szCs w:val="24"/>
        </w:rPr>
        <w:t>§ 7º A multa aplicada em decorrência das infrações previstas nesta Lei será vinculada ao Cadastro de Pessoas Físicas (CPF) da pessoa física efetivamente responsável pela infração, ou ao Cadastro Nacional da Pessoa Jurídica (CNPJ), quando cabível, observada a identificação do infrator, a responsabilidade legal e o devido processo administrativo.</w:t>
      </w:r>
    </w:p>
    <w:p w:rsidR="005F14DC" w:rsidP="00295C8B">
      <w:pPr>
        <w:spacing w:after="200" w:line="360" w:lineRule="auto"/>
        <w:ind w:firstLine="708"/>
        <w:jc w:val="both"/>
        <w:rPr>
          <w:sz w:val="24"/>
          <w:szCs w:val="24"/>
        </w:rPr>
      </w:pPr>
      <w:r w:rsidRPr="005F14DC">
        <w:rPr>
          <w:sz w:val="24"/>
          <w:szCs w:val="24"/>
        </w:rPr>
        <w:t>§ 8º Após a constituição definitiva do crédito decorrente da multa e o vencimento do prazo para pagamento, o débito poderá ser encaminhado para cobrança administrativa e, quando presentes os requisitos legais, para inscrição em dívida ativa, sem prejuízo das demais medidas legalmente cabíveis.</w:t>
      </w:r>
    </w:p>
    <w:p w:rsidR="005F14DC" w:rsidRPr="00295C8B" w:rsidP="005F14DC">
      <w:pPr>
        <w:spacing w:after="200" w:line="360" w:lineRule="auto"/>
        <w:ind w:firstLine="708"/>
        <w:jc w:val="both"/>
        <w:rPr>
          <w:sz w:val="24"/>
          <w:szCs w:val="24"/>
        </w:rPr>
      </w:pPr>
      <w:r>
        <w:rPr>
          <w:sz w:val="24"/>
          <w:szCs w:val="24"/>
        </w:rPr>
        <w:t>§ 9</w:t>
      </w:r>
      <w:r w:rsidRPr="00295C8B">
        <w:rPr>
          <w:sz w:val="24"/>
          <w:szCs w:val="24"/>
        </w:rPr>
        <w:t xml:space="preserve">º </w:t>
      </w:r>
      <w:r w:rsidR="003E1584">
        <w:rPr>
          <w:sz w:val="24"/>
          <w:szCs w:val="24"/>
        </w:rPr>
        <w:t>Os recursos financeiros advindos das multas aplicadas serão encaminhados para o Fundo Municipal de Segurança Púbica (FUMSEG), criado através da Lei Municipal nº6.984/2025.</w:t>
      </w:r>
    </w:p>
    <w:p w:rsidR="00295C8B" w:rsidRPr="00295C8B" w:rsidP="003E1584">
      <w:pPr>
        <w:spacing w:after="200" w:line="360" w:lineRule="auto"/>
        <w:jc w:val="both"/>
        <w:rPr>
          <w:sz w:val="24"/>
          <w:szCs w:val="24"/>
        </w:rPr>
      </w:pPr>
    </w:p>
    <w:p w:rsidR="00295C8B" w:rsidRPr="00295C8B" w:rsidP="00295C8B">
      <w:pPr>
        <w:spacing w:after="200" w:line="360" w:lineRule="auto"/>
        <w:ind w:firstLine="708"/>
        <w:jc w:val="both"/>
        <w:rPr>
          <w:sz w:val="24"/>
          <w:szCs w:val="24"/>
        </w:rPr>
      </w:pPr>
      <w:r w:rsidRPr="00295C8B">
        <w:rPr>
          <w:sz w:val="24"/>
          <w:szCs w:val="24"/>
        </w:rPr>
        <w:t>Art. 7º-A. O autuado poderá apresentar defe</w:t>
      </w:r>
      <w:r w:rsidR="003E1584">
        <w:rPr>
          <w:sz w:val="24"/>
          <w:szCs w:val="24"/>
        </w:rPr>
        <w:t>sa administrativa no prazo de 10 (dez</w:t>
      </w:r>
      <w:r w:rsidRPr="00295C8B">
        <w:rPr>
          <w:sz w:val="24"/>
          <w:szCs w:val="24"/>
        </w:rPr>
        <w:t>) dias úteis, contado da ciên</w:t>
      </w:r>
      <w:r>
        <w:rPr>
          <w:sz w:val="24"/>
          <w:szCs w:val="24"/>
        </w:rPr>
        <w:t>cia formal do auto de infração.</w:t>
      </w:r>
    </w:p>
    <w:p w:rsidR="00295C8B" w:rsidRPr="00295C8B" w:rsidP="00295C8B">
      <w:pPr>
        <w:spacing w:after="200" w:line="360" w:lineRule="auto"/>
        <w:ind w:firstLine="708"/>
        <w:jc w:val="both"/>
        <w:rPr>
          <w:sz w:val="24"/>
          <w:szCs w:val="24"/>
        </w:rPr>
      </w:pPr>
      <w:r w:rsidRPr="00295C8B">
        <w:rPr>
          <w:sz w:val="24"/>
          <w:szCs w:val="24"/>
        </w:rPr>
        <w:t>§ 1º A defesa será apreciada pela autoridade administrativa competente,</w:t>
      </w:r>
      <w:r>
        <w:rPr>
          <w:sz w:val="24"/>
          <w:szCs w:val="24"/>
        </w:rPr>
        <w:t xml:space="preserve"> mediante decisão fundamentada.</w:t>
      </w:r>
    </w:p>
    <w:p w:rsidR="00295C8B" w:rsidRPr="00295C8B" w:rsidP="00295C8B">
      <w:pPr>
        <w:spacing w:after="200" w:line="360" w:lineRule="auto"/>
        <w:ind w:firstLine="708"/>
        <w:jc w:val="both"/>
        <w:rPr>
          <w:sz w:val="24"/>
          <w:szCs w:val="24"/>
        </w:rPr>
      </w:pPr>
      <w:r w:rsidRPr="00295C8B">
        <w:rPr>
          <w:sz w:val="24"/>
          <w:szCs w:val="24"/>
        </w:rPr>
        <w:t>§ 2º Da decisão que aplicar penalidade caberá recur</w:t>
      </w:r>
      <w:r w:rsidR="003E1584">
        <w:rPr>
          <w:sz w:val="24"/>
          <w:szCs w:val="24"/>
        </w:rPr>
        <w:t>so administrativo no prazo de 10 (dez</w:t>
      </w:r>
      <w:r w:rsidRPr="00295C8B">
        <w:rPr>
          <w:sz w:val="24"/>
          <w:szCs w:val="24"/>
        </w:rPr>
        <w:t>) dias úteis, contado da ciência da decisão, con</w:t>
      </w:r>
      <w:r>
        <w:rPr>
          <w:sz w:val="24"/>
          <w:szCs w:val="24"/>
        </w:rPr>
        <w:t>forme regulamentação municipal.</w:t>
      </w:r>
    </w:p>
    <w:p w:rsidR="00295C8B" w:rsidRPr="00295C8B" w:rsidP="00295C8B">
      <w:pPr>
        <w:spacing w:after="200" w:line="360" w:lineRule="auto"/>
        <w:ind w:firstLine="708"/>
        <w:jc w:val="both"/>
        <w:rPr>
          <w:sz w:val="24"/>
          <w:szCs w:val="24"/>
        </w:rPr>
      </w:pPr>
      <w:r w:rsidRPr="00295C8B">
        <w:rPr>
          <w:sz w:val="24"/>
          <w:szCs w:val="24"/>
        </w:rPr>
        <w:t>§ 3º A defesa e o recurso terão os efeitos previstos na legislação municipal aplicável, ressalvadas as medidas c</w:t>
      </w:r>
      <w:r>
        <w:rPr>
          <w:sz w:val="24"/>
          <w:szCs w:val="24"/>
        </w:rPr>
        <w:t>autelares legalmente admitidas.</w:t>
      </w:r>
    </w:p>
    <w:p w:rsidR="00295C8B" w:rsidRPr="00295C8B" w:rsidP="00295C8B">
      <w:pPr>
        <w:spacing w:after="200" w:line="360" w:lineRule="auto"/>
        <w:ind w:firstLine="708"/>
        <w:jc w:val="both"/>
        <w:rPr>
          <w:sz w:val="24"/>
          <w:szCs w:val="24"/>
        </w:rPr>
      </w:pPr>
      <w:r w:rsidRPr="00295C8B">
        <w:rPr>
          <w:sz w:val="24"/>
          <w:szCs w:val="24"/>
        </w:rPr>
        <w:t>§ 4º A aplicação definitiva da penalidade deverá ser registrada no cadastro administrativo do estabelecimento para fins de controle de reincidência, respeitada a legislação de proteção de dados pessoais.</w:t>
      </w:r>
    </w:p>
    <w:p w:rsidR="00295C8B" w:rsidRPr="00295C8B" w:rsidP="00295C8B">
      <w:pPr>
        <w:spacing w:after="200" w:line="360" w:lineRule="auto"/>
        <w:ind w:firstLine="708"/>
        <w:jc w:val="both"/>
        <w:rPr>
          <w:sz w:val="24"/>
          <w:szCs w:val="24"/>
        </w:rPr>
      </w:pPr>
    </w:p>
    <w:p w:rsidR="00295C8B" w:rsidP="00295C8B">
      <w:pPr>
        <w:spacing w:after="200" w:line="360" w:lineRule="auto"/>
        <w:ind w:firstLine="708"/>
        <w:jc w:val="both"/>
        <w:rPr>
          <w:sz w:val="24"/>
          <w:szCs w:val="24"/>
        </w:rPr>
      </w:pPr>
      <w:r w:rsidRPr="00295C8B">
        <w:rPr>
          <w:sz w:val="24"/>
          <w:szCs w:val="24"/>
        </w:rPr>
        <w:t>Art. 7º-B. O Poder Executivo poderá regulamentar esta Lei, estabelecendo procedimentos operacionais de fiscalização, modelos de autos de infração, fluxos de atendimento de denúncias e critérios para o processamento administrativo das penalidades,</w:t>
      </w:r>
      <w:r>
        <w:rPr>
          <w:sz w:val="24"/>
          <w:szCs w:val="24"/>
        </w:rPr>
        <w:t xml:space="preserve"> respeitados os limites legais.</w:t>
      </w:r>
    </w:p>
    <w:p w:rsidR="00295C8B" w:rsidRPr="00295C8B" w:rsidP="00295C8B">
      <w:pPr>
        <w:spacing w:after="200" w:line="360" w:lineRule="auto"/>
        <w:ind w:firstLine="708"/>
        <w:jc w:val="both"/>
        <w:rPr>
          <w:sz w:val="24"/>
          <w:szCs w:val="24"/>
        </w:rPr>
      </w:pPr>
    </w:p>
    <w:p w:rsidR="00295C8B" w:rsidRPr="00295C8B" w:rsidP="00295C8B">
      <w:pPr>
        <w:spacing w:after="200" w:line="360" w:lineRule="auto"/>
        <w:ind w:firstLine="708"/>
        <w:jc w:val="both"/>
        <w:rPr>
          <w:sz w:val="24"/>
          <w:szCs w:val="24"/>
        </w:rPr>
      </w:pPr>
      <w:r>
        <w:rPr>
          <w:sz w:val="24"/>
          <w:szCs w:val="24"/>
        </w:rPr>
        <w:t>Art. 4</w:t>
      </w:r>
      <w:r w:rsidRPr="00295C8B">
        <w:rPr>
          <w:sz w:val="24"/>
          <w:szCs w:val="24"/>
        </w:rPr>
        <w:t>º As despesas decorrentes da execução desta Lei correrão por conta das dotações orçamentárias próprias, suplementadas se necessário.</w:t>
      </w:r>
    </w:p>
    <w:p w:rsidR="00295C8B" w:rsidRPr="00295C8B" w:rsidP="00295C8B">
      <w:pPr>
        <w:spacing w:after="200" w:line="360" w:lineRule="auto"/>
        <w:ind w:firstLine="708"/>
        <w:jc w:val="both"/>
        <w:rPr>
          <w:sz w:val="24"/>
          <w:szCs w:val="24"/>
        </w:rPr>
      </w:pPr>
    </w:p>
    <w:p w:rsidR="004D096C" w:rsidP="00295C8B">
      <w:pPr>
        <w:spacing w:after="200" w:line="360" w:lineRule="auto"/>
        <w:ind w:firstLine="708"/>
        <w:jc w:val="both"/>
        <w:rPr>
          <w:sz w:val="24"/>
          <w:szCs w:val="24"/>
        </w:rPr>
      </w:pPr>
      <w:r>
        <w:rPr>
          <w:sz w:val="24"/>
          <w:szCs w:val="24"/>
        </w:rPr>
        <w:t>Art. 5</w:t>
      </w:r>
      <w:bookmarkStart w:id="0" w:name="_GoBack"/>
      <w:bookmarkEnd w:id="0"/>
      <w:r w:rsidRPr="00295C8B" w:rsidR="00295C8B">
        <w:rPr>
          <w:sz w:val="24"/>
          <w:szCs w:val="24"/>
        </w:rPr>
        <w:t>º Esta Lei entra em vigor na data de sua publicação</w:t>
      </w:r>
      <w:r w:rsidR="00295C8B">
        <w:rPr>
          <w:sz w:val="24"/>
          <w:szCs w:val="24"/>
        </w:rPr>
        <w:t>.</w:t>
      </w:r>
    </w:p>
    <w:p w:rsidR="00295C8B" w:rsidP="004D096C">
      <w:pPr>
        <w:spacing w:line="360" w:lineRule="auto"/>
        <w:jc w:val="center"/>
        <w:rPr>
          <w:b/>
          <w:sz w:val="24"/>
          <w:szCs w:val="24"/>
        </w:rPr>
      </w:pPr>
    </w:p>
    <w:p w:rsidR="004D096C" w:rsidP="004D096C">
      <w:pPr>
        <w:spacing w:line="360" w:lineRule="auto"/>
        <w:jc w:val="center"/>
        <w:rPr>
          <w:b/>
          <w:sz w:val="24"/>
          <w:szCs w:val="24"/>
        </w:rPr>
      </w:pPr>
      <w:r>
        <w:rPr>
          <w:b/>
          <w:sz w:val="24"/>
          <w:szCs w:val="24"/>
        </w:rPr>
        <w:t>JUSTIFICATIVA</w:t>
      </w:r>
    </w:p>
    <w:p w:rsidR="00842D86" w:rsidRPr="00081A23" w:rsidP="00842D86">
      <w:pPr>
        <w:spacing w:line="360" w:lineRule="auto"/>
        <w:rPr>
          <w:b/>
          <w:sz w:val="24"/>
          <w:szCs w:val="24"/>
        </w:rPr>
      </w:pPr>
    </w:p>
    <w:p w:rsidR="00295C8B" w:rsidRPr="00295C8B" w:rsidP="00295C8B">
      <w:pPr>
        <w:spacing w:line="360" w:lineRule="auto"/>
        <w:ind w:firstLine="709"/>
        <w:jc w:val="both"/>
        <w:rPr>
          <w:sz w:val="24"/>
          <w:szCs w:val="24"/>
        </w:rPr>
      </w:pPr>
      <w:r w:rsidRPr="00295C8B">
        <w:rPr>
          <w:sz w:val="24"/>
          <w:szCs w:val="24"/>
        </w:rPr>
        <w:t>O presente Projeto de Lei tem por finalidade fortalecer os mecanismos de fiscalização e aprimorar o regime de sanções previsto na Lei Ordinária nº 4.092, de 10 de novembro de 2005, que disciplina o horário de funcionamento de bares, botequins, comércio de bebidas e estabelecimentos similares no Município de Mogi Mirim.</w:t>
      </w:r>
    </w:p>
    <w:p w:rsidR="00295C8B" w:rsidRPr="00295C8B" w:rsidP="00295C8B">
      <w:pPr>
        <w:spacing w:line="360" w:lineRule="auto"/>
        <w:ind w:firstLine="709"/>
        <w:jc w:val="both"/>
        <w:rPr>
          <w:sz w:val="24"/>
          <w:szCs w:val="24"/>
        </w:rPr>
      </w:pPr>
    </w:p>
    <w:p w:rsidR="00295C8B" w:rsidRPr="00295C8B" w:rsidP="00295C8B">
      <w:pPr>
        <w:spacing w:line="360" w:lineRule="auto"/>
        <w:ind w:firstLine="709"/>
        <w:jc w:val="both"/>
        <w:rPr>
          <w:sz w:val="24"/>
          <w:szCs w:val="24"/>
        </w:rPr>
      </w:pPr>
      <w:r w:rsidRPr="00295C8B">
        <w:rPr>
          <w:sz w:val="24"/>
          <w:szCs w:val="24"/>
        </w:rPr>
        <w:t>A proposta busca conferir maior efetividade à atuação fiscalizatória municipal, estabelecendo procedimentos mais claros para a constatação das infrações, a formalização dos autos, o processamento das defesas administrativas e o acompanhamento dos estabelecimentos reincidentes.</w:t>
      </w:r>
    </w:p>
    <w:p w:rsidR="00295C8B" w:rsidRPr="00295C8B" w:rsidP="00295C8B">
      <w:pPr>
        <w:spacing w:line="360" w:lineRule="auto"/>
        <w:ind w:firstLine="709"/>
        <w:jc w:val="both"/>
        <w:rPr>
          <w:sz w:val="24"/>
          <w:szCs w:val="24"/>
        </w:rPr>
      </w:pPr>
    </w:p>
    <w:p w:rsidR="00295C8B" w:rsidRPr="00295C8B" w:rsidP="00295C8B">
      <w:pPr>
        <w:spacing w:line="360" w:lineRule="auto"/>
        <w:ind w:firstLine="709"/>
        <w:jc w:val="both"/>
        <w:rPr>
          <w:sz w:val="24"/>
          <w:szCs w:val="24"/>
        </w:rPr>
      </w:pPr>
      <w:r w:rsidRPr="00295C8B">
        <w:rPr>
          <w:sz w:val="24"/>
          <w:szCs w:val="24"/>
        </w:rPr>
        <w:t>O regime sancionatório proposto estabelece multas progressivas e prevê a possibilidade de suspensão ou cassação do alvará de funcionamento, conforme a gravidade da conduta e a reiteração das infrações. Busca-se, assim, desestimular o descumprimento da legislação e assegurar que as penalidades sejam proporcionais à gravidade dos fatos.</w:t>
      </w:r>
    </w:p>
    <w:p w:rsidR="00295C8B" w:rsidRPr="00295C8B" w:rsidP="00295C8B">
      <w:pPr>
        <w:spacing w:line="360" w:lineRule="auto"/>
        <w:ind w:firstLine="709"/>
        <w:jc w:val="both"/>
        <w:rPr>
          <w:sz w:val="24"/>
          <w:szCs w:val="24"/>
        </w:rPr>
      </w:pPr>
    </w:p>
    <w:p w:rsidR="00295C8B" w:rsidRPr="00295C8B" w:rsidP="00295C8B">
      <w:pPr>
        <w:spacing w:line="360" w:lineRule="auto"/>
        <w:ind w:firstLine="709"/>
        <w:jc w:val="both"/>
        <w:rPr>
          <w:sz w:val="24"/>
          <w:szCs w:val="24"/>
        </w:rPr>
      </w:pPr>
      <w:r w:rsidRPr="00295C8B">
        <w:rPr>
          <w:sz w:val="24"/>
          <w:szCs w:val="24"/>
        </w:rPr>
        <w:t>A iniciativa também fortalece a fiscalização relacionada aos horários autorizados, às condições de funcionamento e ao cumprimento das normas de tratamento acústico e de proteção do sossego público, contribuindo para a convivência harmoniosa entre a atividade econômica e os direitos da população.</w:t>
      </w:r>
    </w:p>
    <w:p w:rsidR="00295C8B" w:rsidRPr="00295C8B" w:rsidP="00295C8B">
      <w:pPr>
        <w:spacing w:line="360" w:lineRule="auto"/>
        <w:ind w:firstLine="709"/>
        <w:jc w:val="both"/>
        <w:rPr>
          <w:sz w:val="24"/>
          <w:szCs w:val="24"/>
        </w:rPr>
      </w:pPr>
    </w:p>
    <w:p w:rsidR="00295C8B" w:rsidRPr="00295C8B" w:rsidP="00295C8B">
      <w:pPr>
        <w:spacing w:line="360" w:lineRule="auto"/>
        <w:ind w:firstLine="709"/>
        <w:jc w:val="both"/>
        <w:rPr>
          <w:sz w:val="24"/>
          <w:szCs w:val="24"/>
        </w:rPr>
      </w:pPr>
      <w:r w:rsidRPr="00295C8B">
        <w:rPr>
          <w:sz w:val="24"/>
          <w:szCs w:val="24"/>
        </w:rPr>
        <w:t>Ao mesmo tempo, o projeto estabelece parâmetros para a atuação administrativa, prevendo a formalização das infrações, a fundamentação das decisões e a garantia do contraditório e da ampla defesa, sem prejuízo da adoção de medidas cautelares quando legalmente justificadas.</w:t>
      </w:r>
    </w:p>
    <w:p w:rsidR="00295C8B" w:rsidRPr="00295C8B" w:rsidP="00295C8B">
      <w:pPr>
        <w:spacing w:line="360" w:lineRule="auto"/>
        <w:ind w:firstLine="709"/>
        <w:jc w:val="both"/>
        <w:rPr>
          <w:sz w:val="24"/>
          <w:szCs w:val="24"/>
        </w:rPr>
      </w:pPr>
    </w:p>
    <w:p w:rsidR="00295C8B" w:rsidRPr="00295C8B" w:rsidP="00295C8B">
      <w:pPr>
        <w:spacing w:line="360" w:lineRule="auto"/>
        <w:ind w:firstLine="709"/>
        <w:jc w:val="both"/>
        <w:rPr>
          <w:sz w:val="24"/>
          <w:szCs w:val="24"/>
        </w:rPr>
      </w:pPr>
      <w:r w:rsidRPr="00295C8B">
        <w:rPr>
          <w:sz w:val="24"/>
          <w:szCs w:val="24"/>
        </w:rPr>
        <w:t>Dessa forma, a proposta pretende aperfeiçoar a legislação municipal, ampliar a capacidade de prevenção e repressão às irregularidades e promover maior efetividade na proteção do interesse público.</w:t>
      </w:r>
    </w:p>
    <w:p w:rsidR="00295C8B" w:rsidRPr="00295C8B" w:rsidP="00295C8B">
      <w:pPr>
        <w:spacing w:line="360" w:lineRule="auto"/>
        <w:ind w:firstLine="709"/>
        <w:jc w:val="both"/>
        <w:rPr>
          <w:sz w:val="24"/>
          <w:szCs w:val="24"/>
        </w:rPr>
      </w:pPr>
    </w:p>
    <w:p w:rsidR="00295C8B" w:rsidP="00295C8B">
      <w:pPr>
        <w:spacing w:line="360" w:lineRule="auto"/>
        <w:ind w:firstLine="709"/>
        <w:jc w:val="both"/>
        <w:rPr>
          <w:sz w:val="24"/>
          <w:szCs w:val="24"/>
        </w:rPr>
      </w:pPr>
      <w:r w:rsidRPr="00295C8B">
        <w:rPr>
          <w:sz w:val="24"/>
          <w:szCs w:val="24"/>
        </w:rPr>
        <w:t>Diante do exposto, submetemos o presente Projeto de Lei à apreciação dos nobres pares, esperando contar com o apoio necessário à sua aprovação.</w:t>
      </w:r>
    </w:p>
    <w:p w:rsidR="00295C8B" w:rsidP="00E9176C">
      <w:pPr>
        <w:spacing w:line="360" w:lineRule="auto"/>
        <w:ind w:firstLine="709"/>
        <w:jc w:val="both"/>
        <w:rPr>
          <w:sz w:val="24"/>
          <w:szCs w:val="24"/>
        </w:rPr>
      </w:pPr>
    </w:p>
    <w:p w:rsidR="00D72A58" w:rsidRPr="00E9176C" w:rsidP="00E9176C">
      <w:pPr>
        <w:spacing w:line="360" w:lineRule="auto"/>
        <w:ind w:firstLine="709"/>
        <w:jc w:val="both"/>
        <w:rPr>
          <w:sz w:val="24"/>
          <w:szCs w:val="24"/>
        </w:rPr>
      </w:pPr>
      <w:r w:rsidRPr="00E9176C">
        <w:rPr>
          <w:sz w:val="24"/>
          <w:szCs w:val="24"/>
        </w:rPr>
        <w:t>Pelo caráter humanitário e pela relevância social da medida, que não gera custos ao Poder Executivo e traz benefícios imensuráveis à segurança da população, contamos com o apoio dos Nobres Pares para a aprovação deste Projeto de Lei.</w:t>
      </w:r>
    </w:p>
    <w:p w:rsidR="00D72A58" w:rsidP="00F46A0A">
      <w:pPr>
        <w:spacing w:line="360" w:lineRule="auto"/>
        <w:jc w:val="both"/>
        <w:rPr>
          <w:rFonts w:ascii="Arial" w:hAnsi="Arial" w:cs="Arial"/>
          <w:sz w:val="24"/>
          <w:szCs w:val="24"/>
        </w:rPr>
      </w:pPr>
    </w:p>
    <w:p w:rsidR="00D72A58" w:rsidRPr="00D84891" w:rsidP="00D84891">
      <w:pPr>
        <w:spacing w:line="360" w:lineRule="auto"/>
        <w:jc w:val="center"/>
        <w:rPr>
          <w:sz w:val="24"/>
          <w:szCs w:val="24"/>
        </w:rPr>
      </w:pPr>
      <w:r w:rsidRPr="007C54D6">
        <w:rPr>
          <w:sz w:val="24"/>
          <w:szCs w:val="24"/>
        </w:rPr>
        <w:t>SALA DAS SESSÕES</w:t>
      </w:r>
      <w:r w:rsidRPr="007C54D6">
        <w:rPr>
          <w:sz w:val="24"/>
          <w:szCs w:val="24"/>
        </w:rPr>
        <w:t xml:space="preserve"> “VEREADOR SANTO RÓTOLLI”, em </w:t>
      </w:r>
      <w:r w:rsidR="00295C8B">
        <w:rPr>
          <w:sz w:val="24"/>
          <w:szCs w:val="24"/>
        </w:rPr>
        <w:t>26</w:t>
      </w:r>
      <w:r w:rsidRPr="007C54D6" w:rsidR="006E1BA6">
        <w:rPr>
          <w:sz w:val="24"/>
          <w:szCs w:val="24"/>
        </w:rPr>
        <w:t xml:space="preserve"> </w:t>
      </w:r>
      <w:r w:rsidR="00295C8B">
        <w:rPr>
          <w:sz w:val="24"/>
          <w:szCs w:val="24"/>
        </w:rPr>
        <w:t>de outubro</w:t>
      </w:r>
      <w:r w:rsidRPr="007C54D6" w:rsidR="006E1BA6">
        <w:rPr>
          <w:sz w:val="24"/>
          <w:szCs w:val="24"/>
        </w:rPr>
        <w:t xml:space="preserve"> de 2</w:t>
      </w:r>
      <w:r w:rsidRPr="007C54D6">
        <w:rPr>
          <w:sz w:val="24"/>
          <w:szCs w:val="24"/>
        </w:rPr>
        <w:t>02</w:t>
      </w:r>
      <w:r w:rsidR="005C56DF">
        <w:rPr>
          <w:sz w:val="24"/>
          <w:szCs w:val="24"/>
        </w:rPr>
        <w:t>6</w:t>
      </w:r>
      <w:r w:rsidRPr="007C54D6">
        <w:rPr>
          <w:sz w:val="24"/>
          <w:szCs w:val="24"/>
        </w:rPr>
        <w:t>.</w:t>
      </w:r>
    </w:p>
    <w:p w:rsidR="00D549D2" w:rsidP="00D72A58">
      <w:pPr>
        <w:spacing w:line="360" w:lineRule="auto"/>
        <w:jc w:val="center"/>
        <w:rPr>
          <w:rFonts w:ascii="Arial" w:hAnsi="Arial" w:cs="Arial"/>
          <w:b/>
          <w:sz w:val="24"/>
          <w:szCs w:val="24"/>
        </w:rPr>
      </w:pPr>
    </w:p>
    <w:p w:rsidR="00D84891" w:rsidP="00D72A58">
      <w:pPr>
        <w:spacing w:line="360" w:lineRule="auto"/>
        <w:jc w:val="center"/>
        <w:rPr>
          <w:rFonts w:ascii="Arial" w:hAnsi="Arial" w:cs="Arial"/>
          <w:b/>
          <w:sz w:val="24"/>
          <w:szCs w:val="24"/>
        </w:rPr>
      </w:pPr>
    </w:p>
    <w:p w:rsidR="00D549D2" w:rsidRPr="007C54D6" w:rsidP="00D72A58">
      <w:pPr>
        <w:spacing w:line="360" w:lineRule="auto"/>
        <w:jc w:val="center"/>
        <w:rPr>
          <w:sz w:val="24"/>
          <w:szCs w:val="24"/>
        </w:rPr>
      </w:pPr>
      <w:r w:rsidRPr="007C54D6">
        <w:rPr>
          <w:sz w:val="24"/>
          <w:szCs w:val="24"/>
        </w:rPr>
        <w:t>(</w:t>
      </w:r>
      <w:r w:rsidRPr="007C54D6">
        <w:rPr>
          <w:i/>
          <w:sz w:val="24"/>
          <w:szCs w:val="24"/>
        </w:rPr>
        <w:t>assinado</w:t>
      </w:r>
      <w:r w:rsidRPr="007C54D6">
        <w:rPr>
          <w:i/>
          <w:sz w:val="24"/>
          <w:szCs w:val="24"/>
        </w:rPr>
        <w:t xml:space="preserve"> digitalmente</w:t>
      </w:r>
      <w:r w:rsidRPr="007C54D6">
        <w:rPr>
          <w:sz w:val="24"/>
          <w:szCs w:val="24"/>
        </w:rPr>
        <w:t>)</w:t>
      </w:r>
    </w:p>
    <w:p w:rsidR="00E116DC" w:rsidRPr="007C54D6" w:rsidP="00E116DC">
      <w:pPr>
        <w:overflowPunct w:val="0"/>
        <w:adjustRightInd w:val="0"/>
        <w:jc w:val="center"/>
        <w:rPr>
          <w:b/>
          <w:sz w:val="24"/>
          <w:szCs w:val="24"/>
        </w:rPr>
      </w:pPr>
      <w:r w:rsidRPr="007C54D6">
        <w:rPr>
          <w:b/>
          <w:sz w:val="24"/>
          <w:szCs w:val="24"/>
        </w:rPr>
        <w:t>VEREADOR WAGNER RICARDO PEREIRA</w:t>
      </w:r>
    </w:p>
    <w:p w:rsidR="00E116DC" w:rsidP="00E116DC">
      <w:pPr>
        <w:overflowPunct w:val="0"/>
        <w:adjustRightInd w:val="0"/>
        <w:jc w:val="center"/>
        <w:rPr>
          <w:b/>
          <w:sz w:val="24"/>
          <w:szCs w:val="24"/>
        </w:rPr>
      </w:pPr>
      <w:r w:rsidRPr="007C54D6">
        <w:rPr>
          <w:b/>
          <w:sz w:val="24"/>
          <w:szCs w:val="24"/>
        </w:rPr>
        <w:t>Partido Liberal (PL)</w:t>
      </w:r>
    </w:p>
    <w:p w:rsidR="005C56DF" w:rsidP="00E116DC">
      <w:pPr>
        <w:overflowPunct w:val="0"/>
        <w:adjustRightInd w:val="0"/>
        <w:jc w:val="center"/>
        <w:rPr>
          <w:b/>
          <w:sz w:val="24"/>
          <w:szCs w:val="24"/>
        </w:rPr>
      </w:pPr>
    </w:p>
    <w:p w:rsidR="005C56DF" w:rsidP="00E116DC">
      <w:pPr>
        <w:overflowPunct w:val="0"/>
        <w:adjustRightInd w:val="0"/>
        <w:jc w:val="center"/>
        <w:rPr>
          <w:b/>
          <w:sz w:val="24"/>
          <w:szCs w:val="24"/>
        </w:rPr>
      </w:pPr>
      <w:r>
        <w:rPr>
          <w:b/>
          <w:noProof/>
          <w:sz w:val="24"/>
          <w:szCs w:val="24"/>
        </w:rPr>
        <w:drawing>
          <wp:inline distT="0" distB="0" distL="0" distR="0">
            <wp:extent cx="1079420" cy="1183982"/>
            <wp:effectExtent l="0" t="0" r="6985"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804338" name="Logomarca_Partido_Liberal_(Brasil).jp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1087332" cy="1192660"/>
                    </a:xfrm>
                    <a:prstGeom prst="rect">
                      <a:avLst/>
                    </a:prstGeom>
                  </pic:spPr>
                </pic:pic>
              </a:graphicData>
            </a:graphic>
          </wp:inline>
        </w:drawing>
      </w:r>
    </w:p>
    <w:p w:rsidR="004D096C" w:rsidRPr="007C54D6" w:rsidP="00D84891">
      <w:pPr>
        <w:overflowPunct w:val="0"/>
        <w:adjustRightInd w:val="0"/>
        <w:rPr>
          <w:b/>
          <w:sz w:val="24"/>
          <w:szCs w:val="24"/>
        </w:rPr>
      </w:pPr>
    </w:p>
    <w:p w:rsidR="00D72A58" w:rsidRPr="007C54D6" w:rsidP="00D72A58">
      <w:pPr>
        <w:jc w:val="center"/>
        <w:rPr>
          <w:b/>
          <w:sz w:val="24"/>
          <w:szCs w:val="24"/>
        </w:rPr>
      </w:pPr>
    </w:p>
    <w:p w:rsidR="00D72A58" w:rsidRPr="00D84891" w:rsidP="00D84891">
      <w:pPr>
        <w:overflowPunct w:val="0"/>
        <w:adjustRightInd w:val="0"/>
        <w:jc w:val="center"/>
        <w:rPr>
          <w:b/>
          <w:sz w:val="24"/>
          <w:szCs w:val="24"/>
        </w:rPr>
      </w:pPr>
    </w:p>
    <w:sectPr>
      <w:headerReference w:type="even" r:id="rId6"/>
      <w:headerReference w:type="default" r:id="rId7"/>
      <w:footerReference w:type="default" r:id="rId8"/>
      <w:headerReference w:type="first" r:id="rId9"/>
      <w:pgSz w:w="11906" w:h="16838"/>
      <w:pgMar w:top="2268" w:right="1321" w:bottom="1134" w:left="1418" w:header="720" w:footer="720" w:gutter="0"/>
      <w:pgNumType w:start="1"/>
      <w:cols w:space="720"/>
      <w:formProt w:val="0"/>
      <w:docGrid w:linePitch="10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239F">
    <w:pPr>
      <w:pStyle w:val="Footer"/>
      <w:jc w:val="right"/>
    </w:pPr>
    <w:r>
      <w:fldChar w:fldCharType="begin"/>
    </w:r>
    <w:r>
      <w:instrText xml:space="preserve"> PAGE </w:instrText>
    </w:r>
    <w:r>
      <w:fldChar w:fldCharType="separate"/>
    </w:r>
    <w:r>
      <w:t>7</w:t>
    </w:r>
    <w:r>
      <w:fldChar w:fldCharType="end"/>
    </w:r>
  </w:p>
  <w:p w:rsidR="00A0239F">
    <w:pPr>
      <w:pStyle w:val="Footer"/>
      <w:jc w:val="center"/>
      <w:rPr>
        <w:sz w:val="18"/>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239F">
    <w:pPr>
      <w:pStyle w:val="Header"/>
      <w:ind w:right="360"/>
    </w:pPr>
    <w:r>
      <w:rPr>
        <w:noProof/>
      </w:rPr>
      <mc:AlternateContent>
        <mc:Choice Requires="wps">
          <w:drawing>
            <wp:anchor distT="0" distB="0" distL="0" distR="0" simplePos="0" relativeHeight="251658240" behindDoc="0"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9" name="Quadro1"/>
              <wp:cNvGraphicFramePr/>
              <a:graphic xmlns:a="http://schemas.openxmlformats.org/drawingml/2006/main">
                <a:graphicData uri="http://schemas.microsoft.com/office/word/2010/wordprocessingShape">
                  <wps:wsp xmlns:wps="http://schemas.microsoft.com/office/word/2010/wordprocessingShape">
                    <wps:cNvSpPr/>
                    <wps:spPr>
                      <a:xfrm>
                        <a:off x="0" y="0"/>
                        <a:ext cx="14605" cy="14605"/>
                      </a:xfrm>
                      <a:prstGeom prst="rect">
                        <a:avLst/>
                      </a:prstGeom>
                      <a:noFill/>
                      <a:ln w="0">
                        <a:noFill/>
                      </a:ln>
                    </wps:spPr>
                    <wps:style>
                      <a:lnRef idx="0">
                        <a:scrgbClr r="0" g="0" b="0"/>
                      </a:lnRef>
                      <a:fillRef idx="0">
                        <a:scrgbClr r="0" g="0" b="0"/>
                      </a:fillRef>
                      <a:effectRef idx="0">
                        <a:scrgbClr r="0" g="0" b="0"/>
                      </a:effectRef>
                      <a:fontRef idx="minor"/>
                    </wps:style>
                    <wps:txbx>
                      <w:txbxContent>
                        <w:p w:rsidR="00A0239F">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tIns="0" rIns="0" bIns="0" anchor="t">
                      <a:spAutoFit/>
                    </wps:bodyPr>
                  </wps:wsp>
                </a:graphicData>
              </a:graphic>
            </wp:anchor>
          </w:drawing>
        </mc:Choice>
        <mc:Fallback>
          <w:pict>
            <v:rect id="Quadro1" o:spid="_x0000_s2049" style="width:1.15pt;height:1.15pt;margin-top:0.05pt;margin-left:-50.05pt;mso-position-horizontal:right;mso-position-horizontal-relative:margin;mso-wrap-distance-bottom:0;mso-wrap-distance-left:0;mso-wrap-distance-right:0;mso-wrap-distance-top:0;mso-wrap-style:square;position:absolute;visibility:visible;v-text-anchor:top;z-index:251659264" o:allowincell="f" filled="f" stroked="f">
              <v:textbox style="mso-fit-shape-to-text:t" inset="0,0,0,0">
                <w:txbxContent>
                  <w:p w:rsidR="00A0239F">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239F">
    <w:pPr>
      <w:pStyle w:val="Header"/>
      <w:tabs>
        <w:tab w:val="clear" w:pos="4419"/>
        <w:tab w:val="right" w:pos="7513"/>
        <w:tab w:val="clear" w:pos="8838"/>
      </w:tabs>
      <w:jc w:val="center"/>
      <w:rPr>
        <w:rFonts w:ascii="Arial" w:hAnsi="Arial"/>
        <w:b/>
        <w:sz w:val="34"/>
      </w:rPr>
    </w:pPr>
    <w:r>
      <w:rPr>
        <w:rFonts w:ascii="Arial" w:hAnsi="Arial"/>
        <w:b/>
        <w:noProof/>
        <w:sz w:val="34"/>
      </w:rPr>
      <mc:AlternateContent>
        <mc:Choice Requires="wps">
          <w:drawing>
            <wp:anchor distT="0" distB="0" distL="0" distR="0" simplePos="0" relativeHeight="251660288" behindDoc="0" locked="0" layoutInCell="0" allowOverlap="1">
              <wp:simplePos x="0" y="0"/>
              <wp:positionH relativeFrom="margin">
                <wp:align>right</wp:align>
              </wp:positionH>
              <wp:positionV relativeFrom="paragraph">
                <wp:posOffset>635</wp:posOffset>
              </wp:positionV>
              <wp:extent cx="14605" cy="145415"/>
              <wp:effectExtent l="0" t="0" r="0" b="0"/>
              <wp:wrapSquare wrapText="bothSides"/>
              <wp:docPr id="11" name="Quadro2"/>
              <wp:cNvGraphicFramePr/>
              <a:graphic xmlns:a="http://schemas.openxmlformats.org/drawingml/2006/main">
                <a:graphicData uri="http://schemas.microsoft.com/office/word/2010/wordprocessingShape">
                  <wps:wsp xmlns:wps="http://schemas.microsoft.com/office/word/2010/wordprocessingShape">
                    <wps:cNvSpPr/>
                    <wps:spPr>
                      <a:xfrm>
                        <a:off x="0" y="0"/>
                        <a:ext cx="14605" cy="145415"/>
                      </a:xfrm>
                      <a:prstGeom prst="rect">
                        <a:avLst/>
                      </a:prstGeom>
                      <a:noFill/>
                      <a:ln w="0">
                        <a:noFill/>
                      </a:ln>
                    </wps:spPr>
                    <wps:style>
                      <a:lnRef idx="0">
                        <a:scrgbClr r="0" g="0" b="0"/>
                      </a:lnRef>
                      <a:fillRef idx="0">
                        <a:scrgbClr r="0" g="0" b="0"/>
                      </a:fillRef>
                      <a:effectRef idx="0">
                        <a:scrgbClr r="0" g="0" b="0"/>
                      </a:effectRef>
                      <a:fontRef idx="minor"/>
                    </wps:style>
                    <wps:txbx>
                      <w:txbxContent>
                        <w:p w:rsidR="00A0239F">
                          <w:pPr>
                            <w:pStyle w:val="Header"/>
                            <w:rPr>
                              <w:rStyle w:val="PageNumber"/>
                            </w:rPr>
                          </w:pPr>
                        </w:p>
                      </w:txbxContent>
                    </wps:txbx>
                    <wps:bodyPr lIns="0" tIns="0" rIns="0" bIns="0" anchor="t">
                      <a:spAutoFit/>
                    </wps:bodyPr>
                  </wps:wsp>
                </a:graphicData>
              </a:graphic>
            </wp:anchor>
          </w:drawing>
        </mc:Choice>
        <mc:Fallback>
          <w:pict>
            <v:rect id="Quadro2" o:spid="_x0000_s2050" style="width:1.15pt;height:11.45pt;margin-top:0.05pt;margin-left:-50.05pt;mso-position-horizontal:right;mso-position-horizontal-relative:margin;mso-wrap-distance-bottom:0;mso-wrap-distance-left:0;mso-wrap-distance-right:0;mso-wrap-distance-top:0;mso-wrap-style:square;position:absolute;visibility:visible;v-text-anchor:top;z-index:251661312" o:allowincell="f" filled="f" stroked="f">
              <v:textbox style="mso-fit-shape-to-text:t" inset="0,0,0,0">
                <w:txbxContent>
                  <w:p w:rsidR="00A0239F">
                    <w:pPr>
                      <w:pStyle w:val="Header"/>
                      <w:rPr>
                        <w:rStyle w:val="PageNumber"/>
                      </w:rPr>
                    </w:pPr>
                  </w:p>
                </w:txbxContent>
              </v:textbox>
              <w10:wrap type="square"/>
            </v:rect>
          </w:pict>
        </mc:Fallback>
      </mc:AlternateContent>
    </w:r>
    <w:r>
      <w:rPr>
        <w:rFonts w:ascii="Arial" w:hAnsi="Arial"/>
        <w:b/>
        <w:noProof/>
        <w:sz w:val="34"/>
      </w:rPr>
      <mc:AlternateContent>
        <mc:Choice Requires="wps">
          <w:drawing>
            <wp:anchor distT="0" distB="0" distL="87630" distR="89535" simplePos="0" relativeHeight="251664384" behindDoc="0" locked="0" layoutInCell="0" allowOverlap="1">
              <wp:simplePos x="0" y="0"/>
              <wp:positionH relativeFrom="column">
                <wp:posOffset>-363220</wp:posOffset>
              </wp:positionH>
              <wp:positionV relativeFrom="paragraph">
                <wp:posOffset>50800</wp:posOffset>
              </wp:positionV>
              <wp:extent cx="1081405" cy="752475"/>
              <wp:effectExtent l="0" t="0" r="0" b="0"/>
              <wp:wrapSquare wrapText="bothSides"/>
              <wp:docPr id="13" name="Quadro3"/>
              <wp:cNvGraphicFramePr/>
              <a:graphic xmlns:a="http://schemas.openxmlformats.org/drawingml/2006/main">
                <a:graphicData uri="http://schemas.microsoft.com/office/word/2010/wordprocessingShape">
                  <wps:wsp xmlns:wps="http://schemas.microsoft.com/office/word/2010/wordprocessingShape">
                    <wps:cNvSpPr/>
                    <wps:spPr>
                      <a:xfrm>
                        <a:off x="0" y="0"/>
                        <a:ext cx="1081405" cy="752475"/>
                      </a:xfrm>
                      <a:prstGeom prst="rect">
                        <a:avLst/>
                      </a:prstGeom>
                      <a:noFill/>
                      <a:ln w="0">
                        <a:noFill/>
                      </a:ln>
                    </wps:spPr>
                    <wps:style>
                      <a:lnRef idx="0">
                        <a:scrgbClr r="0" g="0" b="0"/>
                      </a:lnRef>
                      <a:fillRef idx="0">
                        <a:scrgbClr r="0" g="0" b="0"/>
                      </a:fillRef>
                      <a:effectRef idx="0">
                        <a:scrgbClr r="0" g="0" b="0"/>
                      </a:effectRef>
                      <a:fontRef idx="minor"/>
                    </wps:style>
                    <wps:txbx>
                      <w:txbxContent>
                        <w:p w:rsidR="00A0239F">
                          <w:pPr>
                            <w:ind w:right="360"/>
                            <w:rPr>
                              <w:color w:val="000000"/>
                            </w:rPr>
                          </w:pPr>
                          <w:r>
                            <w:rPr>
                              <w:noProof/>
                              <w:color w:val="000000"/>
                            </w:rPr>
                            <w:drawing>
                              <wp:inline distT="0" distB="0" distL="0" distR="0">
                                <wp:extent cx="1038225" cy="752475"/>
                                <wp:effectExtent l="0" t="0" r="0" b="0"/>
                                <wp:docPr id="1337665964" name="Imagem 1" descr="brasao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828036" name="Imagem 1" descr="brasaomm"/>
                                        <pic:cNvPicPr>
                                          <a:picLocks noChangeAspect="1" noChangeArrowheads="1"/>
                                        </pic:cNvPicPr>
                                      </pic:nvPicPr>
                                      <pic:blipFill>
                                        <a:blip xmlns:r="http://schemas.openxmlformats.org/officeDocument/2006/relationships" r:embed="rId1"/>
                                        <a:stretch>
                                          <a:fillRect/>
                                        </a:stretch>
                                      </pic:blipFill>
                                      <pic:spPr bwMode="auto">
                                        <a:xfrm>
                                          <a:off x="0" y="0"/>
                                          <a:ext cx="1038225" cy="752475"/>
                                        </a:xfrm>
                                        <a:prstGeom prst="rect">
                                          <a:avLst/>
                                        </a:prstGeom>
                                      </pic:spPr>
                                    </pic:pic>
                                  </a:graphicData>
                                </a:graphic>
                              </wp:inline>
                            </w:drawing>
                          </w:r>
                        </w:p>
                      </w:txbxContent>
                    </wps:txbx>
                    <wps:bodyPr lIns="0" tIns="0" rIns="0" bIns="0" anchor="t"/>
                  </wps:wsp>
                </a:graphicData>
              </a:graphic>
            </wp:anchor>
          </w:drawing>
        </mc:Choice>
        <mc:Fallback>
          <w:pict>
            <v:rect id="Quadro3" o:spid="_x0000_s2051" style="width:85.15pt;height:59.25pt;margin-top:4pt;margin-left:-28.6pt;mso-wrap-distance-bottom:0;mso-wrap-distance-left:6.9pt;mso-wrap-distance-right:7.05pt;mso-wrap-distance-top:0;mso-wrap-style:square;position:absolute;visibility:visible;v-text-anchor:top;z-index:251665408" o:allowincell="f" filled="f" stroked="f">
              <v:textbox inset="0,0,0,0">
                <w:txbxContent>
                  <w:p w:rsidR="00A0239F">
                    <w:pPr>
                      <w:ind w:right="360"/>
                      <w:rPr>
                        <w:color w:val="000000"/>
                      </w:rPr>
                    </w:pPr>
                    <w:drawing>
                      <wp:inline distT="0" distB="0" distL="0" distR="0">
                        <wp:extent cx="1038225" cy="752475"/>
                        <wp:effectExtent l="0" t="0" r="0" b="0"/>
                        <wp:docPr id="1" name="Imagem 1" descr="brasao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m 1" descr="brasaomm"/>
                                <pic:cNvPicPr>
                                  <a:picLocks noChangeAspect="1" noChangeArrowheads="1"/>
                                </pic:cNvPicPr>
                              </pic:nvPicPr>
                              <pic:blipFill>
                                <a:blip xmlns:r="http://schemas.openxmlformats.org/officeDocument/2006/relationships" r:embed="rId1"/>
                                <a:stretch>
                                  <a:fillRect/>
                                </a:stretch>
                              </pic:blipFill>
                              <pic:spPr bwMode="auto">
                                <a:xfrm>
                                  <a:off x="0" y="0"/>
                                  <a:ext cx="1038225" cy="752475"/>
                                </a:xfrm>
                                <a:prstGeom prst="rect">
                                  <a:avLst/>
                                </a:prstGeom>
                              </pic:spPr>
                            </pic:pic>
                          </a:graphicData>
                        </a:graphic>
                      </wp:inline>
                    </w:drawing>
                  </w:p>
                </w:txbxContent>
              </v:textbox>
              <w10:wrap type="square"/>
            </v:rect>
          </w:pict>
        </mc:Fallback>
      </mc:AlternateContent>
    </w:r>
  </w:p>
  <w:p w:rsidR="00A0239F">
    <w:pPr>
      <w:pStyle w:val="Header"/>
      <w:tabs>
        <w:tab w:val="clear" w:pos="4419"/>
        <w:tab w:val="right" w:pos="7513"/>
        <w:tab w:val="clear" w:pos="8838"/>
      </w:tabs>
      <w:jc w:val="center"/>
      <w:rPr>
        <w:rFonts w:ascii="Arial" w:hAnsi="Arial"/>
        <w:b/>
        <w:sz w:val="34"/>
      </w:rPr>
    </w:pPr>
    <w:r>
      <w:rPr>
        <w:rFonts w:ascii="Arial" w:hAnsi="Arial"/>
        <w:b/>
        <w:sz w:val="34"/>
      </w:rPr>
      <w:t>CÂMARA MUNICIPAL DE MOGI MIRIM</w:t>
    </w:r>
  </w:p>
  <w:p w:rsidR="00A0239F">
    <w:pPr>
      <w:pStyle w:val="Header"/>
      <w:tabs>
        <w:tab w:val="clear" w:pos="4419"/>
        <w:tab w:val="right" w:pos="7513"/>
        <w:tab w:val="clear" w:pos="8838"/>
      </w:tabs>
      <w:jc w:val="center"/>
      <w:rPr>
        <w:rFonts w:ascii="Arial" w:hAnsi="Arial"/>
      </w:rPr>
    </w:pPr>
    <w:r>
      <w:rPr>
        <w:rFonts w:ascii="Arial" w:hAnsi="Arial"/>
        <w:b/>
        <w:sz w:val="24"/>
      </w:rPr>
      <w:t>Estado de São Paulo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239F">
    <w:pPr>
      <w:pStyle w:val="Header"/>
      <w:tabs>
        <w:tab w:val="clear" w:pos="4419"/>
        <w:tab w:val="right" w:pos="7513"/>
        <w:tab w:val="clear" w:pos="8838"/>
      </w:tabs>
      <w:jc w:val="center"/>
      <w:rPr>
        <w:rFonts w:ascii="Arial" w:hAnsi="Arial"/>
        <w:b/>
        <w:sz w:val="34"/>
      </w:rPr>
    </w:pPr>
    <w:r>
      <w:rPr>
        <w:rFonts w:ascii="Arial" w:hAnsi="Arial"/>
        <w:b/>
        <w:noProof/>
        <w:sz w:val="34"/>
      </w:rPr>
      <mc:AlternateContent>
        <mc:Choice Requires="wps">
          <w:drawing>
            <wp:anchor distT="0" distB="0" distL="0" distR="0" simplePos="0" relativeHeight="251662336" behindDoc="0" locked="0" layoutInCell="0" allowOverlap="1">
              <wp:simplePos x="0" y="0"/>
              <wp:positionH relativeFrom="margin">
                <wp:align>right</wp:align>
              </wp:positionH>
              <wp:positionV relativeFrom="paragraph">
                <wp:posOffset>635</wp:posOffset>
              </wp:positionV>
              <wp:extent cx="14605" cy="145415"/>
              <wp:effectExtent l="0" t="0" r="0" b="0"/>
              <wp:wrapSquare wrapText="bothSides"/>
              <wp:docPr id="17" name="Quadro2"/>
              <wp:cNvGraphicFramePr/>
              <a:graphic xmlns:a="http://schemas.openxmlformats.org/drawingml/2006/main">
                <a:graphicData uri="http://schemas.microsoft.com/office/word/2010/wordprocessingShape">
                  <wps:wsp xmlns:wps="http://schemas.microsoft.com/office/word/2010/wordprocessingShape">
                    <wps:cNvSpPr/>
                    <wps:spPr>
                      <a:xfrm>
                        <a:off x="0" y="0"/>
                        <a:ext cx="14605" cy="145415"/>
                      </a:xfrm>
                      <a:prstGeom prst="rect">
                        <a:avLst/>
                      </a:prstGeom>
                      <a:noFill/>
                      <a:ln w="0">
                        <a:noFill/>
                      </a:ln>
                    </wps:spPr>
                    <wps:style>
                      <a:lnRef idx="0">
                        <a:scrgbClr r="0" g="0" b="0"/>
                      </a:lnRef>
                      <a:fillRef idx="0">
                        <a:scrgbClr r="0" g="0" b="0"/>
                      </a:fillRef>
                      <a:effectRef idx="0">
                        <a:scrgbClr r="0" g="0" b="0"/>
                      </a:effectRef>
                      <a:fontRef idx="minor"/>
                    </wps:style>
                    <wps:txbx>
                      <w:txbxContent>
                        <w:p w:rsidR="00A0239F">
                          <w:pPr>
                            <w:pStyle w:val="Header"/>
                            <w:rPr>
                              <w:rStyle w:val="PageNumber"/>
                            </w:rPr>
                          </w:pPr>
                        </w:p>
                      </w:txbxContent>
                    </wps:txbx>
                    <wps:bodyPr lIns="0" tIns="0" rIns="0" bIns="0" anchor="t">
                      <a:spAutoFit/>
                    </wps:bodyPr>
                  </wps:wsp>
                </a:graphicData>
              </a:graphic>
            </wp:anchor>
          </w:drawing>
        </mc:Choice>
        <mc:Fallback>
          <w:pict>
            <v:rect id="_x0000_s2052" style="width:1.15pt;height:11.45pt;margin-top:0.05pt;margin-left:-50.05pt;mso-position-horizontal:right;mso-position-horizontal-relative:margin;mso-wrap-distance-bottom:0;mso-wrap-distance-left:0;mso-wrap-distance-right:0;mso-wrap-distance-top:0;mso-wrap-style:square;position:absolute;visibility:visible;v-text-anchor:top;z-index:251663360" o:allowincell="f" filled="f" stroked="f">
              <v:textbox style="mso-fit-shape-to-text:t" inset="0,0,0,0">
                <w:txbxContent>
                  <w:p w:rsidR="00A0239F">
                    <w:pPr>
                      <w:pStyle w:val="Header"/>
                      <w:rPr>
                        <w:rStyle w:val="PageNumber"/>
                      </w:rPr>
                    </w:pPr>
                  </w:p>
                </w:txbxContent>
              </v:textbox>
              <w10:wrap type="square"/>
            </v:rect>
          </w:pict>
        </mc:Fallback>
      </mc:AlternateContent>
    </w:r>
    <w:r>
      <w:rPr>
        <w:rFonts w:ascii="Arial" w:hAnsi="Arial"/>
        <w:b/>
        <w:noProof/>
        <w:sz w:val="34"/>
      </w:rPr>
      <mc:AlternateContent>
        <mc:Choice Requires="wps">
          <w:drawing>
            <wp:anchor distT="0" distB="0" distL="87630" distR="89535" simplePos="0" relativeHeight="251666432" behindDoc="0" locked="0" layoutInCell="0" allowOverlap="1">
              <wp:simplePos x="0" y="0"/>
              <wp:positionH relativeFrom="column">
                <wp:posOffset>-363220</wp:posOffset>
              </wp:positionH>
              <wp:positionV relativeFrom="paragraph">
                <wp:posOffset>50800</wp:posOffset>
              </wp:positionV>
              <wp:extent cx="1081405" cy="752475"/>
              <wp:effectExtent l="0" t="0" r="0" b="0"/>
              <wp:wrapSquare wrapText="bothSides"/>
              <wp:docPr id="19" name="Quadro3"/>
              <wp:cNvGraphicFramePr/>
              <a:graphic xmlns:a="http://schemas.openxmlformats.org/drawingml/2006/main">
                <a:graphicData uri="http://schemas.microsoft.com/office/word/2010/wordprocessingShape">
                  <wps:wsp xmlns:wps="http://schemas.microsoft.com/office/word/2010/wordprocessingShape">
                    <wps:cNvSpPr/>
                    <wps:spPr>
                      <a:xfrm>
                        <a:off x="0" y="0"/>
                        <a:ext cx="1081405" cy="752475"/>
                      </a:xfrm>
                      <a:prstGeom prst="rect">
                        <a:avLst/>
                      </a:prstGeom>
                      <a:noFill/>
                      <a:ln w="0">
                        <a:noFill/>
                      </a:ln>
                    </wps:spPr>
                    <wps:style>
                      <a:lnRef idx="0">
                        <a:scrgbClr r="0" g="0" b="0"/>
                      </a:lnRef>
                      <a:fillRef idx="0">
                        <a:scrgbClr r="0" g="0" b="0"/>
                      </a:fillRef>
                      <a:effectRef idx="0">
                        <a:scrgbClr r="0" g="0" b="0"/>
                      </a:effectRef>
                      <a:fontRef idx="minor"/>
                    </wps:style>
                    <wps:txbx>
                      <w:txbxContent>
                        <w:p w:rsidR="00A0239F">
                          <w:pPr>
                            <w:ind w:right="360"/>
                            <w:rPr>
                              <w:color w:val="000000"/>
                            </w:rPr>
                          </w:pPr>
                          <w:r>
                            <w:rPr>
                              <w:noProof/>
                              <w:color w:val="000000"/>
                            </w:rPr>
                            <w:drawing>
                              <wp:inline distT="0" distB="0" distL="0" distR="0">
                                <wp:extent cx="1038225" cy="752475"/>
                                <wp:effectExtent l="0" t="0" r="0" b="0"/>
                                <wp:docPr id="331752010" name="Imagem 1" descr="brasao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37321" name="Imagem 1" descr="brasaomm"/>
                                        <pic:cNvPicPr>
                                          <a:picLocks noChangeAspect="1" noChangeArrowheads="1"/>
                                        </pic:cNvPicPr>
                                      </pic:nvPicPr>
                                      <pic:blipFill>
                                        <a:blip xmlns:r="http://schemas.openxmlformats.org/officeDocument/2006/relationships" r:embed="rId1"/>
                                        <a:stretch>
                                          <a:fillRect/>
                                        </a:stretch>
                                      </pic:blipFill>
                                      <pic:spPr bwMode="auto">
                                        <a:xfrm>
                                          <a:off x="0" y="0"/>
                                          <a:ext cx="1038225" cy="752475"/>
                                        </a:xfrm>
                                        <a:prstGeom prst="rect">
                                          <a:avLst/>
                                        </a:prstGeom>
                                      </pic:spPr>
                                    </pic:pic>
                                  </a:graphicData>
                                </a:graphic>
                              </wp:inline>
                            </w:drawing>
                          </w:r>
                        </w:p>
                      </w:txbxContent>
                    </wps:txbx>
                    <wps:bodyPr lIns="0" tIns="0" rIns="0" bIns="0" anchor="t"/>
                  </wps:wsp>
                </a:graphicData>
              </a:graphic>
            </wp:anchor>
          </w:drawing>
        </mc:Choice>
        <mc:Fallback>
          <w:pict>
            <v:rect id="_x0000_s2053" style="width:85.15pt;height:59.25pt;margin-top:4pt;margin-left:-28.6pt;mso-wrap-distance-bottom:0;mso-wrap-distance-left:6.9pt;mso-wrap-distance-right:7.05pt;mso-wrap-distance-top:0;mso-wrap-style:square;position:absolute;visibility:visible;v-text-anchor:top;z-index:251667456" o:allowincell="f" filled="f" stroked="f">
              <v:textbox inset="0,0,0,0">
                <w:txbxContent>
                  <w:p w:rsidR="00A0239F">
                    <w:pPr>
                      <w:ind w:right="360"/>
                      <w:rPr>
                        <w:color w:val="000000"/>
                      </w:rPr>
                    </w:pPr>
                    <w:drawing>
                      <wp:inline distT="0" distB="0" distL="0" distR="0">
                        <wp:extent cx="1038225" cy="752475"/>
                        <wp:effectExtent l="0" t="0" r="0" b="0"/>
                        <wp:docPr id="2" name="Imagem 1" descr="brasao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m 1" descr="brasaomm"/>
                                <pic:cNvPicPr>
                                  <a:picLocks noChangeAspect="1" noChangeArrowheads="1"/>
                                </pic:cNvPicPr>
                              </pic:nvPicPr>
                              <pic:blipFill>
                                <a:blip xmlns:r="http://schemas.openxmlformats.org/officeDocument/2006/relationships" r:embed="rId1"/>
                                <a:stretch>
                                  <a:fillRect/>
                                </a:stretch>
                              </pic:blipFill>
                              <pic:spPr bwMode="auto">
                                <a:xfrm>
                                  <a:off x="0" y="0"/>
                                  <a:ext cx="1038225" cy="752475"/>
                                </a:xfrm>
                                <a:prstGeom prst="rect">
                                  <a:avLst/>
                                </a:prstGeom>
                              </pic:spPr>
                            </pic:pic>
                          </a:graphicData>
                        </a:graphic>
                      </wp:inline>
                    </w:drawing>
                  </w:p>
                </w:txbxContent>
              </v:textbox>
              <w10:wrap type="square"/>
            </v:rect>
          </w:pict>
        </mc:Fallback>
      </mc:AlternateContent>
    </w:r>
  </w:p>
  <w:p w:rsidR="00A0239F">
    <w:pPr>
      <w:pStyle w:val="Header"/>
      <w:tabs>
        <w:tab w:val="clear" w:pos="4419"/>
        <w:tab w:val="right" w:pos="7513"/>
        <w:tab w:val="clear" w:pos="8838"/>
      </w:tabs>
      <w:jc w:val="center"/>
      <w:rPr>
        <w:rFonts w:ascii="Arial" w:hAnsi="Arial"/>
        <w:b/>
        <w:sz w:val="34"/>
      </w:rPr>
    </w:pPr>
    <w:r>
      <w:rPr>
        <w:rFonts w:ascii="Arial" w:hAnsi="Arial"/>
        <w:b/>
        <w:sz w:val="34"/>
      </w:rPr>
      <w:t>CÂMARA MUNICIPAL DE MOGI MIRIM</w:t>
    </w:r>
  </w:p>
  <w:p w:rsidR="00A0239F">
    <w:pPr>
      <w:pStyle w:val="Header"/>
      <w:tabs>
        <w:tab w:val="clear" w:pos="4419"/>
        <w:tab w:val="right" w:pos="7513"/>
        <w:tab w:val="clear" w:pos="8838"/>
      </w:tabs>
      <w:jc w:val="center"/>
      <w:rPr>
        <w:rFonts w:ascii="Arial" w:hAnsi="Arial"/>
      </w:rPr>
    </w:pPr>
    <w:r>
      <w:rPr>
        <w:rFonts w:ascii="Arial" w:hAnsi="Arial"/>
        <w:b/>
        <w:sz w:val="24"/>
      </w:rPr>
      <w:t>Estado de São Paulo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hybridMultilevel"/>
    <w:tmpl w:val="66334872"/>
    <w:lvl w:ilvl="0">
      <w:start w:val="1"/>
      <w:numFmt w:val="bullet"/>
      <w:lvlText w:val="§"/>
      <w:lvlJc w:val="left"/>
    </w:lvl>
    <w:lvl w:ilvl="1">
      <w:start w:val="1"/>
      <w:numFmt w:val="bullet"/>
      <w:lvlJc w:val="left"/>
    </w:lvl>
    <w:lvl w:ilvl="2">
      <w:start w:val="1"/>
      <w:numFmt w:val="bullet"/>
      <w:lvlJc w:val="left"/>
    </w:lvl>
    <w:lvl w:ilvl="3">
      <w:start w:val="1"/>
      <w:numFmt w:val="bullet"/>
      <w:lvlJc w:val="left"/>
    </w:lvl>
    <w:lvl w:ilvl="4">
      <w:start w:val="1"/>
      <w:numFmt w:val="bullet"/>
      <w:lvlJc w:val="left"/>
    </w:lvl>
    <w:lvl w:ilvl="5">
      <w:start w:val="1"/>
      <w:numFmt w:val="bullet"/>
      <w:lvlJc w:val="left"/>
    </w:lvl>
    <w:lvl w:ilvl="6">
      <w:start w:val="1"/>
      <w:numFmt w:val="bullet"/>
      <w:lvlJc w:val="left"/>
    </w:lvl>
    <w:lvl w:ilvl="7">
      <w:start w:val="1"/>
      <w:numFmt w:val="bullet"/>
      <w:lvlJc w:val="left"/>
    </w:lvl>
    <w:lvl w:ilvl="8">
      <w:start w:val="1"/>
      <w:numFmt w:val="bullet"/>
      <w:lvlJc w:val="left"/>
    </w:lvl>
  </w:abstractNum>
  <w:abstractNum w:abstractNumId="1">
    <w:nsid w:val="00000002"/>
    <w:multiLevelType w:val="hybridMultilevel"/>
    <w:tmpl w:val="74B0DC50"/>
    <w:lvl w:ilvl="0">
      <w:start w:val="35"/>
      <w:numFmt w:val="upperLetter"/>
      <w:lvlText w:val="%1"/>
      <w:lvlJc w:val="left"/>
    </w:lvl>
    <w:lvl w:ilvl="1">
      <w:start w:val="1"/>
      <w:numFmt w:val="bullet"/>
      <w:lvlJc w:val="left"/>
    </w:lvl>
    <w:lvl w:ilvl="2">
      <w:start w:val="1"/>
      <w:numFmt w:val="bullet"/>
      <w:lvlJc w:val="left"/>
    </w:lvl>
    <w:lvl w:ilvl="3">
      <w:start w:val="1"/>
      <w:numFmt w:val="bullet"/>
      <w:lvlJc w:val="left"/>
    </w:lvl>
    <w:lvl w:ilvl="4">
      <w:start w:val="1"/>
      <w:numFmt w:val="bullet"/>
      <w:lvlJc w:val="left"/>
    </w:lvl>
    <w:lvl w:ilvl="5">
      <w:start w:val="1"/>
      <w:numFmt w:val="bullet"/>
      <w:lvlJc w:val="left"/>
    </w:lvl>
    <w:lvl w:ilvl="6">
      <w:start w:val="1"/>
      <w:numFmt w:val="bullet"/>
      <w:lvlJc w:val="left"/>
    </w:lvl>
    <w:lvl w:ilvl="7">
      <w:start w:val="1"/>
      <w:numFmt w:val="bullet"/>
      <w:lvlJc w:val="left"/>
    </w:lvl>
    <w:lvl w:ilvl="8">
      <w:start w:val="1"/>
      <w:numFmt w:val="bullet"/>
      <w:lvlJc w:val="left"/>
    </w:lvl>
  </w:abstractNum>
  <w:abstractNum w:abstractNumId="2">
    <w:nsid w:val="00000003"/>
    <w:multiLevelType w:val="hybridMultilevel"/>
    <w:tmpl w:val="19495CFE"/>
    <w:lvl w:ilvl="0">
      <w:start w:val="61"/>
      <w:numFmt w:val="upperLetter"/>
      <w:lvlText w:val="%1"/>
      <w:lvlJc w:val="left"/>
    </w:lvl>
    <w:lvl w:ilvl="1">
      <w:start w:val="1"/>
      <w:numFmt w:val="bullet"/>
      <w:lvlJc w:val="left"/>
    </w:lvl>
    <w:lvl w:ilvl="2">
      <w:start w:val="1"/>
      <w:numFmt w:val="bullet"/>
      <w:lvlJc w:val="left"/>
    </w:lvl>
    <w:lvl w:ilvl="3">
      <w:start w:val="1"/>
      <w:numFmt w:val="bullet"/>
      <w:lvlJc w:val="left"/>
    </w:lvl>
    <w:lvl w:ilvl="4">
      <w:start w:val="1"/>
      <w:numFmt w:val="bullet"/>
      <w:lvlJc w:val="left"/>
    </w:lvl>
    <w:lvl w:ilvl="5">
      <w:start w:val="1"/>
      <w:numFmt w:val="bullet"/>
      <w:lvlJc w:val="left"/>
    </w:lvl>
    <w:lvl w:ilvl="6">
      <w:start w:val="1"/>
      <w:numFmt w:val="bullet"/>
      <w:lvlJc w:val="left"/>
    </w:lvl>
    <w:lvl w:ilvl="7">
      <w:start w:val="1"/>
      <w:numFmt w:val="bullet"/>
      <w:lvlJc w:val="left"/>
    </w:lvl>
    <w:lvl w:ilvl="8">
      <w:start w:val="1"/>
      <w:numFmt w:val="bullet"/>
      <w:lvlJc w:val="left"/>
    </w:lvl>
  </w:abstractNum>
  <w:abstractNum w:abstractNumId="3">
    <w:nsid w:val="02B2128A"/>
    <w:multiLevelType w:val="hybridMultilevel"/>
    <w:tmpl w:val="F922246E"/>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C891567"/>
    <w:multiLevelType w:val="multilevel"/>
    <w:tmpl w:val="77E2B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2A025DB"/>
    <w:multiLevelType w:val="hybridMultilevel"/>
    <w:tmpl w:val="68E0C1C2"/>
    <w:lvl w:ilvl="0">
      <w:start w:val="1"/>
      <w:numFmt w:val="decimal"/>
      <w:lvlText w:val="%1."/>
      <w:lvlJc w:val="left"/>
      <w:pPr>
        <w:ind w:left="1413" w:hanging="705"/>
      </w:pPr>
      <w:rPr>
        <w:rFonts w:hint="default"/>
      </w:rPr>
    </w:lvl>
    <w:lvl w:ilvl="1" w:tentative="1">
      <w:start w:val="1"/>
      <w:numFmt w:val="lowerLetter"/>
      <w:lvlText w:val="%2."/>
      <w:lvlJc w:val="left"/>
      <w:pPr>
        <w:ind w:left="1788" w:hanging="360"/>
      </w:pPr>
    </w:lvl>
    <w:lvl w:ilvl="2" w:tentative="1">
      <w:start w:val="1"/>
      <w:numFmt w:val="lowerRoman"/>
      <w:lvlText w:val="%3."/>
      <w:lvlJc w:val="right"/>
      <w:pPr>
        <w:ind w:left="2508" w:hanging="180"/>
      </w:pPr>
    </w:lvl>
    <w:lvl w:ilvl="3" w:tentative="1">
      <w:start w:val="1"/>
      <w:numFmt w:val="decimal"/>
      <w:lvlText w:val="%4."/>
      <w:lvlJc w:val="left"/>
      <w:pPr>
        <w:ind w:left="3228" w:hanging="360"/>
      </w:pPr>
    </w:lvl>
    <w:lvl w:ilvl="4" w:tentative="1">
      <w:start w:val="1"/>
      <w:numFmt w:val="lowerLetter"/>
      <w:lvlText w:val="%5."/>
      <w:lvlJc w:val="left"/>
      <w:pPr>
        <w:ind w:left="3948" w:hanging="360"/>
      </w:pPr>
    </w:lvl>
    <w:lvl w:ilvl="5" w:tentative="1">
      <w:start w:val="1"/>
      <w:numFmt w:val="lowerRoman"/>
      <w:lvlText w:val="%6."/>
      <w:lvlJc w:val="right"/>
      <w:pPr>
        <w:ind w:left="4668" w:hanging="180"/>
      </w:pPr>
    </w:lvl>
    <w:lvl w:ilvl="6" w:tentative="1">
      <w:start w:val="1"/>
      <w:numFmt w:val="decimal"/>
      <w:lvlText w:val="%7."/>
      <w:lvlJc w:val="left"/>
      <w:pPr>
        <w:ind w:left="5388" w:hanging="360"/>
      </w:pPr>
    </w:lvl>
    <w:lvl w:ilvl="7" w:tentative="1">
      <w:start w:val="1"/>
      <w:numFmt w:val="lowerLetter"/>
      <w:lvlText w:val="%8."/>
      <w:lvlJc w:val="left"/>
      <w:pPr>
        <w:ind w:left="6108" w:hanging="360"/>
      </w:pPr>
    </w:lvl>
    <w:lvl w:ilvl="8" w:tentative="1">
      <w:start w:val="1"/>
      <w:numFmt w:val="lowerRoman"/>
      <w:lvlText w:val="%9."/>
      <w:lvlJc w:val="right"/>
      <w:pPr>
        <w:ind w:left="6828" w:hanging="180"/>
      </w:pPr>
    </w:lvl>
  </w:abstractNum>
  <w:abstractNum w:abstractNumId="6">
    <w:nsid w:val="16BE3E6A"/>
    <w:multiLevelType w:val="hybridMultilevel"/>
    <w:tmpl w:val="35D82EDA"/>
    <w:lvl w:ilvl="0">
      <w:start w:val="1"/>
      <w:numFmt w:val="upperRoman"/>
      <w:lvlText w:val="%1."/>
      <w:lvlJc w:val="right"/>
      <w:pPr>
        <w:ind w:left="1428" w:hanging="360"/>
      </w:pPr>
    </w:lvl>
    <w:lvl w:ilvl="1" w:tentative="1">
      <w:start w:val="1"/>
      <w:numFmt w:val="lowerLetter"/>
      <w:lvlText w:val="%2."/>
      <w:lvlJc w:val="left"/>
      <w:pPr>
        <w:ind w:left="2148" w:hanging="360"/>
      </w:pPr>
    </w:lvl>
    <w:lvl w:ilvl="2" w:tentative="1">
      <w:start w:val="1"/>
      <w:numFmt w:val="lowerRoman"/>
      <w:lvlText w:val="%3."/>
      <w:lvlJc w:val="right"/>
      <w:pPr>
        <w:ind w:left="2868" w:hanging="180"/>
      </w:pPr>
    </w:lvl>
    <w:lvl w:ilvl="3" w:tentative="1">
      <w:start w:val="1"/>
      <w:numFmt w:val="decimal"/>
      <w:lvlText w:val="%4."/>
      <w:lvlJc w:val="left"/>
      <w:pPr>
        <w:ind w:left="3588" w:hanging="360"/>
      </w:pPr>
    </w:lvl>
    <w:lvl w:ilvl="4" w:tentative="1">
      <w:start w:val="1"/>
      <w:numFmt w:val="lowerLetter"/>
      <w:lvlText w:val="%5."/>
      <w:lvlJc w:val="left"/>
      <w:pPr>
        <w:ind w:left="4308" w:hanging="360"/>
      </w:pPr>
    </w:lvl>
    <w:lvl w:ilvl="5" w:tentative="1">
      <w:start w:val="1"/>
      <w:numFmt w:val="lowerRoman"/>
      <w:lvlText w:val="%6."/>
      <w:lvlJc w:val="right"/>
      <w:pPr>
        <w:ind w:left="5028" w:hanging="180"/>
      </w:pPr>
    </w:lvl>
    <w:lvl w:ilvl="6" w:tentative="1">
      <w:start w:val="1"/>
      <w:numFmt w:val="decimal"/>
      <w:lvlText w:val="%7."/>
      <w:lvlJc w:val="left"/>
      <w:pPr>
        <w:ind w:left="5748" w:hanging="360"/>
      </w:pPr>
    </w:lvl>
    <w:lvl w:ilvl="7" w:tentative="1">
      <w:start w:val="1"/>
      <w:numFmt w:val="lowerLetter"/>
      <w:lvlText w:val="%8."/>
      <w:lvlJc w:val="left"/>
      <w:pPr>
        <w:ind w:left="6468" w:hanging="360"/>
      </w:pPr>
    </w:lvl>
    <w:lvl w:ilvl="8" w:tentative="1">
      <w:start w:val="1"/>
      <w:numFmt w:val="lowerRoman"/>
      <w:lvlText w:val="%9."/>
      <w:lvlJc w:val="right"/>
      <w:pPr>
        <w:ind w:left="7188" w:hanging="180"/>
      </w:pPr>
    </w:lvl>
  </w:abstractNum>
  <w:abstractNum w:abstractNumId="7">
    <w:nsid w:val="1B763FD1"/>
    <w:multiLevelType w:val="hybridMultilevel"/>
    <w:tmpl w:val="EC703BBC"/>
    <w:lvl w:ilvl="0">
      <w:start w:val="1"/>
      <w:numFmt w:val="upperRoman"/>
      <w:lvlText w:val="%1."/>
      <w:lvlJc w:val="right"/>
      <w:pPr>
        <w:ind w:left="1428" w:hanging="360"/>
      </w:pPr>
    </w:lvl>
    <w:lvl w:ilvl="1" w:tentative="1">
      <w:start w:val="1"/>
      <w:numFmt w:val="lowerLetter"/>
      <w:lvlText w:val="%2."/>
      <w:lvlJc w:val="left"/>
      <w:pPr>
        <w:ind w:left="2148" w:hanging="360"/>
      </w:pPr>
    </w:lvl>
    <w:lvl w:ilvl="2" w:tentative="1">
      <w:start w:val="1"/>
      <w:numFmt w:val="lowerRoman"/>
      <w:lvlText w:val="%3."/>
      <w:lvlJc w:val="right"/>
      <w:pPr>
        <w:ind w:left="2868" w:hanging="180"/>
      </w:pPr>
    </w:lvl>
    <w:lvl w:ilvl="3" w:tentative="1">
      <w:start w:val="1"/>
      <w:numFmt w:val="decimal"/>
      <w:lvlText w:val="%4."/>
      <w:lvlJc w:val="left"/>
      <w:pPr>
        <w:ind w:left="3588" w:hanging="360"/>
      </w:pPr>
    </w:lvl>
    <w:lvl w:ilvl="4" w:tentative="1">
      <w:start w:val="1"/>
      <w:numFmt w:val="lowerLetter"/>
      <w:lvlText w:val="%5."/>
      <w:lvlJc w:val="left"/>
      <w:pPr>
        <w:ind w:left="4308" w:hanging="360"/>
      </w:pPr>
    </w:lvl>
    <w:lvl w:ilvl="5" w:tentative="1">
      <w:start w:val="1"/>
      <w:numFmt w:val="lowerRoman"/>
      <w:lvlText w:val="%6."/>
      <w:lvlJc w:val="right"/>
      <w:pPr>
        <w:ind w:left="5028" w:hanging="180"/>
      </w:pPr>
    </w:lvl>
    <w:lvl w:ilvl="6" w:tentative="1">
      <w:start w:val="1"/>
      <w:numFmt w:val="decimal"/>
      <w:lvlText w:val="%7."/>
      <w:lvlJc w:val="left"/>
      <w:pPr>
        <w:ind w:left="5748" w:hanging="360"/>
      </w:pPr>
    </w:lvl>
    <w:lvl w:ilvl="7" w:tentative="1">
      <w:start w:val="1"/>
      <w:numFmt w:val="lowerLetter"/>
      <w:lvlText w:val="%8."/>
      <w:lvlJc w:val="left"/>
      <w:pPr>
        <w:ind w:left="6468" w:hanging="360"/>
      </w:pPr>
    </w:lvl>
    <w:lvl w:ilvl="8" w:tentative="1">
      <w:start w:val="1"/>
      <w:numFmt w:val="lowerRoman"/>
      <w:lvlText w:val="%9."/>
      <w:lvlJc w:val="right"/>
      <w:pPr>
        <w:ind w:left="7188" w:hanging="180"/>
      </w:pPr>
    </w:lvl>
  </w:abstractNum>
  <w:abstractNum w:abstractNumId="8">
    <w:nsid w:val="30821B3E"/>
    <w:multiLevelType w:val="multilevel"/>
    <w:tmpl w:val="853A76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34195BCE"/>
    <w:multiLevelType w:val="hybridMultilevel"/>
    <w:tmpl w:val="3BACC982"/>
    <w:lvl w:ilvl="0">
      <w:start w:val="1"/>
      <w:numFmt w:val="decimal"/>
      <w:lvlText w:val="%1."/>
      <w:lvlJc w:val="left"/>
      <w:pPr>
        <w:ind w:left="1065" w:hanging="705"/>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3A35533A"/>
    <w:multiLevelType w:val="hybridMultilevel"/>
    <w:tmpl w:val="4244B7BA"/>
    <w:lvl w:ilvl="0">
      <w:start w:val="1"/>
      <w:numFmt w:val="upperRoman"/>
      <w:lvlText w:val="%1."/>
      <w:lvlJc w:val="right"/>
      <w:pPr>
        <w:ind w:left="2988" w:hanging="360"/>
      </w:pPr>
    </w:lvl>
    <w:lvl w:ilvl="1" w:tentative="1">
      <w:start w:val="1"/>
      <w:numFmt w:val="lowerLetter"/>
      <w:lvlText w:val="%2."/>
      <w:lvlJc w:val="left"/>
      <w:pPr>
        <w:ind w:left="3708" w:hanging="360"/>
      </w:pPr>
    </w:lvl>
    <w:lvl w:ilvl="2" w:tentative="1">
      <w:start w:val="1"/>
      <w:numFmt w:val="lowerRoman"/>
      <w:lvlText w:val="%3."/>
      <w:lvlJc w:val="right"/>
      <w:pPr>
        <w:ind w:left="4428" w:hanging="180"/>
      </w:pPr>
    </w:lvl>
    <w:lvl w:ilvl="3" w:tentative="1">
      <w:start w:val="1"/>
      <w:numFmt w:val="decimal"/>
      <w:lvlText w:val="%4."/>
      <w:lvlJc w:val="left"/>
      <w:pPr>
        <w:ind w:left="5148" w:hanging="360"/>
      </w:pPr>
    </w:lvl>
    <w:lvl w:ilvl="4" w:tentative="1">
      <w:start w:val="1"/>
      <w:numFmt w:val="lowerLetter"/>
      <w:lvlText w:val="%5."/>
      <w:lvlJc w:val="left"/>
      <w:pPr>
        <w:ind w:left="5868" w:hanging="360"/>
      </w:pPr>
    </w:lvl>
    <w:lvl w:ilvl="5" w:tentative="1">
      <w:start w:val="1"/>
      <w:numFmt w:val="lowerRoman"/>
      <w:lvlText w:val="%6."/>
      <w:lvlJc w:val="right"/>
      <w:pPr>
        <w:ind w:left="6588" w:hanging="180"/>
      </w:pPr>
    </w:lvl>
    <w:lvl w:ilvl="6" w:tentative="1">
      <w:start w:val="1"/>
      <w:numFmt w:val="decimal"/>
      <w:lvlText w:val="%7."/>
      <w:lvlJc w:val="left"/>
      <w:pPr>
        <w:ind w:left="7308" w:hanging="360"/>
      </w:pPr>
    </w:lvl>
    <w:lvl w:ilvl="7" w:tentative="1">
      <w:start w:val="1"/>
      <w:numFmt w:val="lowerLetter"/>
      <w:lvlText w:val="%8."/>
      <w:lvlJc w:val="left"/>
      <w:pPr>
        <w:ind w:left="8028" w:hanging="360"/>
      </w:pPr>
    </w:lvl>
    <w:lvl w:ilvl="8" w:tentative="1">
      <w:start w:val="1"/>
      <w:numFmt w:val="lowerRoman"/>
      <w:lvlText w:val="%9."/>
      <w:lvlJc w:val="right"/>
      <w:pPr>
        <w:ind w:left="8748" w:hanging="180"/>
      </w:pPr>
    </w:lvl>
  </w:abstractNum>
  <w:abstractNum w:abstractNumId="11">
    <w:nsid w:val="43461671"/>
    <w:multiLevelType w:val="multilevel"/>
    <w:tmpl w:val="54548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11A662F"/>
    <w:multiLevelType w:val="multilevel"/>
    <w:tmpl w:val="D62E1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F2E0AF2"/>
    <w:multiLevelType w:val="hybridMultilevel"/>
    <w:tmpl w:val="F70C219A"/>
    <w:lvl w:ilvl="0">
      <w:start w:val="0"/>
      <w:numFmt w:val="bullet"/>
      <w:lvlText w:val="•"/>
      <w:lvlJc w:val="left"/>
      <w:pPr>
        <w:ind w:left="1413" w:hanging="705"/>
      </w:pPr>
      <w:rPr>
        <w:rFonts w:ascii="Times New Roman" w:eastAsia="Times New Roman" w:hAnsi="Times New Roman" w:cs="Times New Roman" w:hint="default"/>
      </w:rPr>
    </w:lvl>
    <w:lvl w:ilvl="1" w:tentative="1">
      <w:start w:val="1"/>
      <w:numFmt w:val="bullet"/>
      <w:lvlText w:val="o"/>
      <w:lvlJc w:val="left"/>
      <w:pPr>
        <w:ind w:left="1788" w:hanging="360"/>
      </w:pPr>
      <w:rPr>
        <w:rFonts w:ascii="Courier New" w:hAnsi="Courier New" w:cs="Courier New" w:hint="default"/>
      </w:rPr>
    </w:lvl>
    <w:lvl w:ilvl="2" w:tentative="1">
      <w:start w:val="1"/>
      <w:numFmt w:val="bullet"/>
      <w:lvlText w:val=""/>
      <w:lvlJc w:val="left"/>
      <w:pPr>
        <w:ind w:left="2508" w:hanging="360"/>
      </w:pPr>
      <w:rPr>
        <w:rFonts w:ascii="Wingdings" w:hAnsi="Wingdings" w:hint="default"/>
      </w:rPr>
    </w:lvl>
    <w:lvl w:ilvl="3" w:tentative="1">
      <w:start w:val="1"/>
      <w:numFmt w:val="bullet"/>
      <w:lvlText w:val=""/>
      <w:lvlJc w:val="left"/>
      <w:pPr>
        <w:ind w:left="3228" w:hanging="360"/>
      </w:pPr>
      <w:rPr>
        <w:rFonts w:ascii="Symbol" w:hAnsi="Symbol" w:hint="default"/>
      </w:rPr>
    </w:lvl>
    <w:lvl w:ilvl="4" w:tentative="1">
      <w:start w:val="1"/>
      <w:numFmt w:val="bullet"/>
      <w:lvlText w:val="o"/>
      <w:lvlJc w:val="left"/>
      <w:pPr>
        <w:ind w:left="3948" w:hanging="360"/>
      </w:pPr>
      <w:rPr>
        <w:rFonts w:ascii="Courier New" w:hAnsi="Courier New" w:cs="Courier New" w:hint="default"/>
      </w:rPr>
    </w:lvl>
    <w:lvl w:ilvl="5" w:tentative="1">
      <w:start w:val="1"/>
      <w:numFmt w:val="bullet"/>
      <w:lvlText w:val=""/>
      <w:lvlJc w:val="left"/>
      <w:pPr>
        <w:ind w:left="4668" w:hanging="360"/>
      </w:pPr>
      <w:rPr>
        <w:rFonts w:ascii="Wingdings" w:hAnsi="Wingdings" w:hint="default"/>
      </w:rPr>
    </w:lvl>
    <w:lvl w:ilvl="6" w:tentative="1">
      <w:start w:val="1"/>
      <w:numFmt w:val="bullet"/>
      <w:lvlText w:val=""/>
      <w:lvlJc w:val="left"/>
      <w:pPr>
        <w:ind w:left="5388" w:hanging="360"/>
      </w:pPr>
      <w:rPr>
        <w:rFonts w:ascii="Symbol" w:hAnsi="Symbol" w:hint="default"/>
      </w:rPr>
    </w:lvl>
    <w:lvl w:ilvl="7" w:tentative="1">
      <w:start w:val="1"/>
      <w:numFmt w:val="bullet"/>
      <w:lvlText w:val="o"/>
      <w:lvlJc w:val="left"/>
      <w:pPr>
        <w:ind w:left="6108" w:hanging="360"/>
      </w:pPr>
      <w:rPr>
        <w:rFonts w:ascii="Courier New" w:hAnsi="Courier New" w:cs="Courier New" w:hint="default"/>
      </w:rPr>
    </w:lvl>
    <w:lvl w:ilvl="8" w:tentative="1">
      <w:start w:val="1"/>
      <w:numFmt w:val="bullet"/>
      <w:lvlText w:val=""/>
      <w:lvlJc w:val="left"/>
      <w:pPr>
        <w:ind w:left="6828" w:hanging="360"/>
      </w:pPr>
      <w:rPr>
        <w:rFonts w:ascii="Wingdings" w:hAnsi="Wingdings" w:hint="default"/>
      </w:rPr>
    </w:lvl>
  </w:abstractNum>
  <w:num w:numId="1">
    <w:abstractNumId w:val="0"/>
  </w:num>
  <w:num w:numId="2">
    <w:abstractNumId w:val="1"/>
  </w:num>
  <w:num w:numId="3">
    <w:abstractNumId w:val="2"/>
  </w:num>
  <w:num w:numId="4">
    <w:abstractNumId w:val="10"/>
  </w:num>
  <w:num w:numId="5">
    <w:abstractNumId w:val="3"/>
  </w:num>
  <w:num w:numId="6">
    <w:abstractNumId w:val="8"/>
  </w:num>
  <w:num w:numId="7">
    <w:abstractNumId w:val="4"/>
  </w:num>
  <w:num w:numId="8">
    <w:abstractNumId w:val="12"/>
  </w:num>
  <w:num w:numId="9">
    <w:abstractNumId w:val="11"/>
  </w:num>
  <w:num w:numId="10">
    <w:abstractNumId w:val="6"/>
  </w:num>
  <w:num w:numId="11">
    <w:abstractNumId w:val="13"/>
  </w:num>
  <w:num w:numId="12">
    <w:abstractNumId w:val="7"/>
  </w:num>
  <w:num w:numId="13">
    <w:abstractNumId w:val="5"/>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39F"/>
    <w:rsid w:val="0002567B"/>
    <w:rsid w:val="00081A23"/>
    <w:rsid w:val="00117B3F"/>
    <w:rsid w:val="001257C7"/>
    <w:rsid w:val="00150991"/>
    <w:rsid w:val="001617C2"/>
    <w:rsid w:val="001B29F8"/>
    <w:rsid w:val="001E3968"/>
    <w:rsid w:val="002136FB"/>
    <w:rsid w:val="002228F3"/>
    <w:rsid w:val="00295C8B"/>
    <w:rsid w:val="002F472D"/>
    <w:rsid w:val="002F777C"/>
    <w:rsid w:val="003C10BC"/>
    <w:rsid w:val="003E1584"/>
    <w:rsid w:val="00447754"/>
    <w:rsid w:val="004619D2"/>
    <w:rsid w:val="00481999"/>
    <w:rsid w:val="004D096C"/>
    <w:rsid w:val="005274AD"/>
    <w:rsid w:val="005830A6"/>
    <w:rsid w:val="00584A3B"/>
    <w:rsid w:val="005C56DF"/>
    <w:rsid w:val="005E0BA1"/>
    <w:rsid w:val="005F14DC"/>
    <w:rsid w:val="005F33DD"/>
    <w:rsid w:val="006618C2"/>
    <w:rsid w:val="006947C1"/>
    <w:rsid w:val="006E1BA6"/>
    <w:rsid w:val="006E58D1"/>
    <w:rsid w:val="007347E0"/>
    <w:rsid w:val="007678CF"/>
    <w:rsid w:val="00791E13"/>
    <w:rsid w:val="007A1E61"/>
    <w:rsid w:val="007B35C4"/>
    <w:rsid w:val="007B7549"/>
    <w:rsid w:val="007C54D6"/>
    <w:rsid w:val="00816631"/>
    <w:rsid w:val="00842D86"/>
    <w:rsid w:val="00864585"/>
    <w:rsid w:val="00870849"/>
    <w:rsid w:val="008A5C15"/>
    <w:rsid w:val="008D7A5B"/>
    <w:rsid w:val="009237B8"/>
    <w:rsid w:val="00926A3F"/>
    <w:rsid w:val="00956B5F"/>
    <w:rsid w:val="00995495"/>
    <w:rsid w:val="00995FF7"/>
    <w:rsid w:val="009A5CF1"/>
    <w:rsid w:val="009E0A89"/>
    <w:rsid w:val="00A0239F"/>
    <w:rsid w:val="00AC7E6E"/>
    <w:rsid w:val="00AE64C3"/>
    <w:rsid w:val="00B067D1"/>
    <w:rsid w:val="00BA3FD5"/>
    <w:rsid w:val="00BF02C2"/>
    <w:rsid w:val="00C00165"/>
    <w:rsid w:val="00C22616"/>
    <w:rsid w:val="00CF66CE"/>
    <w:rsid w:val="00CF75F9"/>
    <w:rsid w:val="00D549D2"/>
    <w:rsid w:val="00D677E4"/>
    <w:rsid w:val="00D72A58"/>
    <w:rsid w:val="00D75821"/>
    <w:rsid w:val="00D847F9"/>
    <w:rsid w:val="00D84891"/>
    <w:rsid w:val="00D94903"/>
    <w:rsid w:val="00DD469C"/>
    <w:rsid w:val="00E116DC"/>
    <w:rsid w:val="00E5168E"/>
    <w:rsid w:val="00E9176C"/>
    <w:rsid w:val="00EE41BA"/>
    <w:rsid w:val="00F13596"/>
    <w:rsid w:val="00F46A0A"/>
    <w:rsid w:val="00FB010A"/>
    <w:rsid w:val="00FC5199"/>
    <w:rsid w:val="00FD68B3"/>
    <w:rsid w:val="00FE5189"/>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docId w15:val="{C6B9AAB0-4E2A-4CA1-A248-E2D8A17BC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BR" w:eastAsia="pt-BR"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Ttulo2Char"/>
    <w:uiPriority w:val="9"/>
    <w:qFormat/>
    <w:rsid w:val="00081A23"/>
    <w:pPr>
      <w:suppressAutoHyphens w:val="0"/>
      <w:spacing w:before="100" w:beforeAutospacing="1" w:after="100" w:afterAutospacing="1"/>
      <w:outlineLvl w:val="1"/>
    </w:pPr>
    <w:rPr>
      <w:b/>
      <w:bCs/>
      <w:sz w:val="36"/>
      <w:szCs w:val="36"/>
    </w:rPr>
  </w:style>
  <w:style w:type="paragraph" w:styleId="Heading3">
    <w:name w:val="heading 3"/>
    <w:basedOn w:val="Normal"/>
    <w:link w:val="Ttulo3Char"/>
    <w:uiPriority w:val="9"/>
    <w:qFormat/>
    <w:rsid w:val="00081A23"/>
    <w:pPr>
      <w:suppressAutoHyphens w:val="0"/>
      <w:spacing w:before="100" w:beforeAutospacing="1" w:after="100" w:afterAutospacing="1"/>
      <w:outlineLvl w:val="2"/>
    </w:pPr>
    <w:rPr>
      <w:b/>
      <w:bCs/>
      <w:sz w:val="27"/>
      <w:szCs w:val="27"/>
    </w:rPr>
  </w:style>
  <w:style w:type="paragraph" w:styleId="Heading4">
    <w:name w:val="heading 4"/>
    <w:basedOn w:val="Normal"/>
    <w:link w:val="Ttulo4Char"/>
    <w:uiPriority w:val="9"/>
    <w:qFormat/>
    <w:rsid w:val="00081A23"/>
    <w:pPr>
      <w:suppressAutoHyphens w:val="0"/>
      <w:spacing w:before="100" w:beforeAutospacing="1" w:after="100" w:afterAutospacing="1"/>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RodapChar">
    <w:name w:val="Rodapé Char"/>
    <w:link w:val="Footer"/>
    <w:uiPriority w:val="99"/>
    <w:qFormat/>
    <w:rsid w:val="00D373CE"/>
  </w:style>
  <w:style w:type="paragraph" w:styleId="Title">
    <w:name w:val="Title"/>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ndice">
    <w:name w:val="Índice"/>
    <w:basedOn w:val="Normal"/>
    <w:qFormat/>
    <w:pPr>
      <w:suppressLineNumbers/>
    </w:pPr>
    <w:rPr>
      <w:rFonts w:cs="Lucida Sans"/>
    </w:rPr>
  </w:style>
  <w:style w:type="paragraph" w:styleId="PlainText">
    <w:name w:val="Plain Text"/>
    <w:basedOn w:val="Normal"/>
    <w:qFormat/>
    <w:rPr>
      <w:rFonts w:ascii="Courier New" w:hAnsi="Courier New"/>
    </w:rPr>
  </w:style>
  <w:style w:type="paragraph" w:customStyle="1" w:styleId="CabealhoeRodap">
    <w:name w:val="Cabeçalho e Rodapé"/>
    <w:basedOn w:val="Normal"/>
    <w:qFormat/>
  </w:style>
  <w:style w:type="paragraph" w:styleId="Header">
    <w:name w:val="header"/>
    <w:basedOn w:val="Normal"/>
    <w:pPr>
      <w:tabs>
        <w:tab w:val="center" w:pos="4419"/>
        <w:tab w:val="right" w:pos="8838"/>
      </w:tabs>
    </w:pPr>
  </w:style>
  <w:style w:type="paragraph" w:styleId="Footer">
    <w:name w:val="footer"/>
    <w:basedOn w:val="Normal"/>
    <w:link w:val="RodapChar"/>
    <w:uiPriority w:val="99"/>
    <w:pPr>
      <w:tabs>
        <w:tab w:val="center" w:pos="4419"/>
        <w:tab w:val="right" w:pos="8838"/>
      </w:tabs>
    </w:pPr>
  </w:style>
  <w:style w:type="paragraph" w:styleId="BalloonText">
    <w:name w:val="Balloon Text"/>
    <w:basedOn w:val="Normal"/>
    <w:semiHidden/>
    <w:qFormat/>
    <w:rsid w:val="00CA0F18"/>
    <w:rPr>
      <w:rFonts w:ascii="Tahoma" w:hAnsi="Tahoma" w:cs="Tahoma"/>
      <w:sz w:val="16"/>
      <w:szCs w:val="16"/>
    </w:rPr>
  </w:style>
  <w:style w:type="paragraph" w:customStyle="1" w:styleId="ecxmsonormal">
    <w:name w:val="ecxmsonormal"/>
    <w:basedOn w:val="Normal"/>
    <w:qFormat/>
    <w:rsid w:val="003D165A"/>
    <w:pPr>
      <w:spacing w:after="324"/>
    </w:pPr>
    <w:rPr>
      <w:sz w:val="24"/>
      <w:szCs w:val="24"/>
    </w:rPr>
  </w:style>
  <w:style w:type="paragraph" w:customStyle="1" w:styleId="ecxmsoplaintext">
    <w:name w:val="ecxmsoplaintext"/>
    <w:basedOn w:val="Normal"/>
    <w:qFormat/>
    <w:rsid w:val="003D165A"/>
    <w:pPr>
      <w:spacing w:after="324"/>
    </w:pPr>
    <w:rPr>
      <w:sz w:val="24"/>
      <w:szCs w:val="24"/>
    </w:rPr>
  </w:style>
  <w:style w:type="paragraph" w:customStyle="1" w:styleId="ecxdefault">
    <w:name w:val="ecxdefault"/>
    <w:basedOn w:val="Normal"/>
    <w:qFormat/>
    <w:rsid w:val="003D165A"/>
    <w:pPr>
      <w:spacing w:after="324"/>
    </w:pPr>
    <w:rPr>
      <w:sz w:val="24"/>
      <w:szCs w:val="24"/>
    </w:rPr>
  </w:style>
  <w:style w:type="paragraph" w:customStyle="1" w:styleId="Contedodoquadro">
    <w:name w:val="Conteúdo do quadro"/>
    <w:basedOn w:val="Normal"/>
    <w:qFormat/>
  </w:style>
  <w:style w:type="paragraph" w:customStyle="1" w:styleId="Textbody">
    <w:name w:val="Text body"/>
    <w:basedOn w:val="Normal"/>
    <w:rsid w:val="00995FF7"/>
    <w:pPr>
      <w:autoSpaceDN w:val="0"/>
      <w:spacing w:after="140" w:line="276" w:lineRule="auto"/>
      <w:textAlignment w:val="baseline"/>
    </w:pPr>
    <w:rPr>
      <w:rFonts w:ascii="Liberation Serif" w:eastAsia="NSimSun" w:hAnsi="Liberation Serif" w:cs="Mangal"/>
      <w:kern w:val="3"/>
      <w:sz w:val="24"/>
      <w:szCs w:val="24"/>
      <w:lang w:eastAsia="zh-CN" w:bidi="hi-IN"/>
    </w:rPr>
  </w:style>
  <w:style w:type="paragraph" w:styleId="NormalWeb">
    <w:name w:val="Normal (Web)"/>
    <w:basedOn w:val="Normal"/>
    <w:uiPriority w:val="99"/>
    <w:unhideWhenUsed/>
    <w:rsid w:val="00CF66CE"/>
    <w:pPr>
      <w:suppressAutoHyphens w:val="0"/>
      <w:spacing w:before="100" w:beforeAutospacing="1" w:after="100" w:afterAutospacing="1"/>
    </w:pPr>
    <w:rPr>
      <w:sz w:val="24"/>
      <w:szCs w:val="24"/>
    </w:rPr>
  </w:style>
  <w:style w:type="character" w:customStyle="1" w:styleId="normas-indices-artigo">
    <w:name w:val="normas-indices-artigo"/>
    <w:basedOn w:val="DefaultParagraphFont"/>
    <w:rsid w:val="00CF66CE"/>
  </w:style>
  <w:style w:type="character" w:customStyle="1" w:styleId="Ttulo2Char">
    <w:name w:val="Título 2 Char"/>
    <w:basedOn w:val="DefaultParagraphFont"/>
    <w:link w:val="Heading2"/>
    <w:uiPriority w:val="9"/>
    <w:rsid w:val="00081A23"/>
    <w:rPr>
      <w:b/>
      <w:bCs/>
      <w:sz w:val="36"/>
      <w:szCs w:val="36"/>
    </w:rPr>
  </w:style>
  <w:style w:type="character" w:customStyle="1" w:styleId="Ttulo3Char">
    <w:name w:val="Título 3 Char"/>
    <w:basedOn w:val="DefaultParagraphFont"/>
    <w:link w:val="Heading3"/>
    <w:uiPriority w:val="9"/>
    <w:rsid w:val="00081A23"/>
    <w:rPr>
      <w:b/>
      <w:bCs/>
      <w:sz w:val="27"/>
      <w:szCs w:val="27"/>
    </w:rPr>
  </w:style>
  <w:style w:type="character" w:customStyle="1" w:styleId="Ttulo4Char">
    <w:name w:val="Título 4 Char"/>
    <w:basedOn w:val="DefaultParagraphFont"/>
    <w:link w:val="Heading4"/>
    <w:uiPriority w:val="9"/>
    <w:rsid w:val="00081A23"/>
    <w:rPr>
      <w:b/>
      <w:bCs/>
      <w:sz w:val="24"/>
      <w:szCs w:val="24"/>
    </w:rPr>
  </w:style>
  <w:style w:type="paragraph" w:styleId="ListParagraph">
    <w:name w:val="List Paragraph"/>
    <w:basedOn w:val="Normal"/>
    <w:uiPriority w:val="34"/>
    <w:qFormat/>
    <w:rsid w:val="00BA3F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2.jpeg" /></Relationships>
</file>

<file path=word/_rels/header3.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FB1FE4-A598-435D-93E2-242207270E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7</Pages>
  <Words>1613</Words>
  <Characters>8713</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PROJETO DE LEI Nº     DE 2010</vt:lpstr>
    </vt:vector>
  </TitlesOfParts>
  <Company>Camara Municipal</Company>
  <LinksUpToDate>false</LinksUpToDate>
  <CharactersWithSpaces>10306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PROJETO DE LEI Nº     DE 2010</dc:title>
  <dc:creator>Secretaria</dc:creator>
  <cp:lastModifiedBy>Bianca</cp:lastModifiedBy>
  <cp:revision>3</cp:revision>
  <cp:lastPrinted>2026-10-26T12:29:27Z</cp:lastPrinted>
  <dcterms:created xsi:type="dcterms:W3CDTF">2026-10-21T19:52:00Z</dcterms:created>
  <dcterms:modified xsi:type="dcterms:W3CDTF">2026-10-24T18:33:00Z</dcterms:modified>
  <dc:language>pt-BR</dc:language>
</cp:coreProperties>
</file>